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D3" w:rsidRDefault="00E35791" w:rsidP="008C45E8">
      <w:pPr>
        <w:spacing w:after="0" w:line="240" w:lineRule="auto"/>
        <w:jc w:val="center"/>
        <w:rPr>
          <w:b/>
        </w:rPr>
      </w:pPr>
      <w:r w:rsidRPr="007B44D3">
        <w:rPr>
          <w:b/>
        </w:rPr>
        <w:t xml:space="preserve">Odborné stanovisko </w:t>
      </w:r>
      <w:r w:rsidR="00E00072" w:rsidRPr="007B44D3">
        <w:rPr>
          <w:b/>
        </w:rPr>
        <w:t xml:space="preserve">představenstva Komory </w:t>
      </w:r>
      <w:r w:rsidRPr="007B44D3">
        <w:rPr>
          <w:b/>
        </w:rPr>
        <w:t xml:space="preserve">č. </w:t>
      </w:r>
      <w:r w:rsidR="00A43A27" w:rsidRPr="007B44D3">
        <w:rPr>
          <w:b/>
        </w:rPr>
        <w:t xml:space="preserve">OSP </w:t>
      </w:r>
      <w:r w:rsidR="00D01FA4">
        <w:rPr>
          <w:b/>
        </w:rPr>
        <w:t>3</w:t>
      </w:r>
      <w:r w:rsidRPr="007B44D3">
        <w:rPr>
          <w:b/>
        </w:rPr>
        <w:t>/20</w:t>
      </w:r>
      <w:r w:rsidR="00A43A27" w:rsidRPr="007B44D3">
        <w:rPr>
          <w:b/>
        </w:rPr>
        <w:t>1</w:t>
      </w:r>
      <w:r w:rsidR="001677A0">
        <w:rPr>
          <w:b/>
        </w:rPr>
        <w:t>9</w:t>
      </w:r>
    </w:p>
    <w:p w:rsidR="00A43A27" w:rsidRDefault="00E35791" w:rsidP="003337A4">
      <w:pPr>
        <w:spacing w:after="0" w:line="240" w:lineRule="auto"/>
        <w:jc w:val="center"/>
      </w:pPr>
      <w:bookmarkStart w:id="0" w:name="_Hlk533158028"/>
      <w:r w:rsidRPr="007B44D3">
        <w:rPr>
          <w:b/>
        </w:rPr>
        <w:t>k</w:t>
      </w:r>
      <w:r w:rsidR="007B44D3" w:rsidRPr="007B44D3">
        <w:rPr>
          <w:b/>
        </w:rPr>
        <w:t> </w:t>
      </w:r>
      <w:bookmarkEnd w:id="0"/>
      <w:r w:rsidR="003337A4" w:rsidRPr="003337A4">
        <w:rPr>
          <w:b/>
        </w:rPr>
        <w:t xml:space="preserve">ošetřování pacientů </w:t>
      </w:r>
      <w:r w:rsidR="00DE7250">
        <w:rPr>
          <w:b/>
        </w:rPr>
        <w:t xml:space="preserve">léčených </w:t>
      </w:r>
      <w:r w:rsidR="003337A4" w:rsidRPr="003337A4">
        <w:rPr>
          <w:b/>
        </w:rPr>
        <w:t>antiresorpční terapi</w:t>
      </w:r>
      <w:r w:rsidR="00DE7250">
        <w:rPr>
          <w:b/>
        </w:rPr>
        <w:t>í</w:t>
      </w:r>
    </w:p>
    <w:p w:rsidR="003337A4" w:rsidRDefault="003337A4" w:rsidP="008C45E8">
      <w:pPr>
        <w:spacing w:after="0" w:line="240" w:lineRule="auto"/>
        <w:jc w:val="center"/>
      </w:pPr>
    </w:p>
    <w:p w:rsidR="007B44D3" w:rsidRDefault="007B44D3" w:rsidP="008C45E8">
      <w:pPr>
        <w:spacing w:after="0" w:line="240" w:lineRule="auto"/>
        <w:jc w:val="center"/>
      </w:pPr>
      <w:r>
        <w:t>Schváleno usnesením představenstva ČSK č. USN201</w:t>
      </w:r>
      <w:r w:rsidR="001677A0">
        <w:t>9</w:t>
      </w:r>
      <w:r>
        <w:t>/</w:t>
      </w:r>
      <w:r w:rsidR="00D01FA4">
        <w:t>03</w:t>
      </w:r>
      <w:r>
        <w:t>/</w:t>
      </w:r>
      <w:r w:rsidR="00D01FA4">
        <w:t>03</w:t>
      </w:r>
      <w:r>
        <w:t xml:space="preserve"> </w:t>
      </w:r>
      <w:r w:rsidR="00A74CD3">
        <w:t xml:space="preserve">ze </w:t>
      </w:r>
      <w:r>
        <w:t xml:space="preserve">dne </w:t>
      </w:r>
      <w:r w:rsidR="00D01FA4">
        <w:t>8</w:t>
      </w:r>
      <w:r>
        <w:t xml:space="preserve">. </w:t>
      </w:r>
      <w:r w:rsidR="00D01FA4">
        <w:t>3</w:t>
      </w:r>
      <w:r w:rsidR="001677A0">
        <w:t xml:space="preserve">. </w:t>
      </w:r>
      <w:r>
        <w:t>201</w:t>
      </w:r>
      <w:r w:rsidR="001677A0">
        <w:t>9</w:t>
      </w:r>
    </w:p>
    <w:p w:rsidR="007B44D3" w:rsidRDefault="007B44D3" w:rsidP="008C45E8">
      <w:pPr>
        <w:spacing w:after="0" w:line="240" w:lineRule="auto"/>
        <w:jc w:val="both"/>
      </w:pPr>
    </w:p>
    <w:p w:rsidR="007B44D3" w:rsidRDefault="007B44D3" w:rsidP="008C45E8">
      <w:pPr>
        <w:spacing w:after="0" w:line="240" w:lineRule="auto"/>
        <w:jc w:val="both"/>
      </w:pPr>
    </w:p>
    <w:p w:rsidR="005C7448" w:rsidRDefault="00A43A27" w:rsidP="008C45E8">
      <w:pPr>
        <w:spacing w:after="0" w:line="240" w:lineRule="auto"/>
        <w:jc w:val="both"/>
      </w:pPr>
      <w:r>
        <w:t>P</w:t>
      </w:r>
      <w:r w:rsidR="00E35791">
        <w:t>ředstavenstv</w:t>
      </w:r>
      <w:r>
        <w:t xml:space="preserve">o </w:t>
      </w:r>
      <w:r w:rsidR="00E35791">
        <w:t xml:space="preserve">České stomatologické komory </w:t>
      </w:r>
      <w:r>
        <w:t>vydává po</w:t>
      </w:r>
      <w:r w:rsidR="00E35791">
        <w:t>dle § 20b odst. 2 organizačního řádu – stanov ČSK</w:t>
      </w:r>
      <w:r>
        <w:t xml:space="preserve"> toto odborné stanovisko</w:t>
      </w:r>
      <w:r w:rsidR="000472E0">
        <w:t xml:space="preserve"> </w:t>
      </w:r>
      <w:r w:rsidR="00E00072">
        <w:t xml:space="preserve">představenstva Komory </w:t>
      </w:r>
      <w:r w:rsidR="007B44D3">
        <w:t>k </w:t>
      </w:r>
      <w:r w:rsidR="00DE7250" w:rsidRPr="00DE7250">
        <w:t xml:space="preserve">ošetřování pacientů </w:t>
      </w:r>
      <w:r w:rsidR="00DE7250">
        <w:t xml:space="preserve">léčených </w:t>
      </w:r>
      <w:r w:rsidR="00DE7250" w:rsidRPr="00DE7250">
        <w:t>antiresorpční terapi</w:t>
      </w:r>
      <w:r w:rsidR="00DE7250">
        <w:t>í</w:t>
      </w:r>
      <w:bookmarkStart w:id="1" w:name="_GoBack"/>
      <w:bookmarkEnd w:id="1"/>
      <w:r>
        <w:t>:</w:t>
      </w:r>
    </w:p>
    <w:p w:rsidR="007B44D3" w:rsidRDefault="007B44D3" w:rsidP="008C45E8">
      <w:pPr>
        <w:spacing w:after="0" w:line="240" w:lineRule="auto"/>
        <w:jc w:val="both"/>
      </w:pPr>
    </w:p>
    <w:p w:rsidR="003337A4" w:rsidRPr="00041D65" w:rsidRDefault="003337A4" w:rsidP="003337A4">
      <w:pPr>
        <w:jc w:val="both"/>
        <w:rPr>
          <w:b/>
        </w:rPr>
      </w:pPr>
      <w:proofErr w:type="spellStart"/>
      <w:r>
        <w:rPr>
          <w:b/>
        </w:rPr>
        <w:t>Osteonekróza</w:t>
      </w:r>
      <w:proofErr w:type="spellEnd"/>
      <w:r>
        <w:rPr>
          <w:b/>
        </w:rPr>
        <w:t xml:space="preserve"> čelisti</w:t>
      </w:r>
    </w:p>
    <w:p w:rsidR="003337A4" w:rsidRDefault="003337A4" w:rsidP="003337A4">
      <w:pPr>
        <w:jc w:val="both"/>
      </w:pPr>
      <w:r>
        <w:t xml:space="preserve">Medikamentózně podmíněná </w:t>
      </w:r>
      <w:proofErr w:type="spellStart"/>
      <w:r>
        <w:t>osteonekróza</w:t>
      </w:r>
      <w:proofErr w:type="spellEnd"/>
      <w:r>
        <w:t xml:space="preserve"> </w:t>
      </w:r>
      <w:r w:rsidRPr="00C43108">
        <w:t xml:space="preserve">čelisti </w:t>
      </w:r>
      <w:r>
        <w:t>(MRONJ) je minimálně 8 týdnů trvající ložisko nekrotické kosti čelist</w:t>
      </w:r>
      <w:r w:rsidRPr="00E52F47">
        <w:t>i</w:t>
      </w:r>
      <w:r>
        <w:t xml:space="preserve"> obnažené do dutiny ústní nebo zevně. Podmínkou diagnózy je, aby pacient užíval antiresorpční nebo jinou rizikovou medikaci (zejména </w:t>
      </w:r>
      <w:proofErr w:type="spellStart"/>
      <w:r>
        <w:t>antiangiogenní</w:t>
      </w:r>
      <w:proofErr w:type="spellEnd"/>
      <w:r>
        <w:t xml:space="preserve"> léčiva), vyloučena musí být radioterapie </w:t>
      </w:r>
      <w:proofErr w:type="spellStart"/>
      <w:r>
        <w:t>orofaciální</w:t>
      </w:r>
      <w:proofErr w:type="spellEnd"/>
      <w:r>
        <w:t xml:space="preserve"> oblasti v anamnéze (</w:t>
      </w:r>
      <w:proofErr w:type="spellStart"/>
      <w:r>
        <w:t>osteoradionekróza</w:t>
      </w:r>
      <w:proofErr w:type="spellEnd"/>
      <w:r>
        <w:t>), metastáza zhoubného nádoru do čelistních kostí a jiné formy infekčních zánětů čelistí (osteomyelitidy)</w:t>
      </w:r>
      <w:sdt>
        <w:sdtPr>
          <w:id w:val="-1268302446"/>
          <w:citation/>
        </w:sdtPr>
        <w:sdtContent>
          <w:r w:rsidR="005279FB">
            <w:fldChar w:fldCharType="begin"/>
          </w:r>
          <w:r>
            <w:instrText xml:space="preserve"> CITATION iaGV0x8AVnk7hdnL </w:instrText>
          </w:r>
          <w:r w:rsidR="005279FB">
            <w:fldChar w:fldCharType="separate"/>
          </w:r>
          <w:r>
            <w:rPr>
              <w:noProof/>
            </w:rPr>
            <w:t xml:space="preserve"> [1]</w:t>
          </w:r>
          <w:r w:rsidR="005279FB">
            <w:fldChar w:fldCharType="end"/>
          </w:r>
        </w:sdtContent>
      </w:sdt>
      <w:r>
        <w:t>.</w:t>
      </w:r>
    </w:p>
    <w:p w:rsidR="003337A4" w:rsidRPr="003D6946" w:rsidRDefault="003337A4" w:rsidP="003337A4">
      <w:pPr>
        <w:jc w:val="both"/>
        <w:rPr>
          <w:b/>
        </w:rPr>
      </w:pPr>
      <w:r w:rsidRPr="003D6946">
        <w:rPr>
          <w:b/>
        </w:rPr>
        <w:t>Antiresorpční terapie</w:t>
      </w:r>
    </w:p>
    <w:p w:rsidR="003337A4" w:rsidRPr="00010006" w:rsidRDefault="003337A4" w:rsidP="003337A4">
      <w:pPr>
        <w:jc w:val="both"/>
      </w:pPr>
      <w:r>
        <w:t>Antiresorpční terapie je podávána za účelem zpomalení kostního obratu zejména u pacientů s osteoporózou, mnohočetným myelomem a kostními metastázami solidních tumorů (prsu, prostaty, plic). Používají se</w:t>
      </w:r>
      <w:r>
        <w:rPr>
          <w:color w:val="FF0000"/>
        </w:rPr>
        <w:t xml:space="preserve"> </w:t>
      </w:r>
      <w:r w:rsidRPr="00E52F47">
        <w:t xml:space="preserve">buď </w:t>
      </w:r>
      <w:proofErr w:type="spellStart"/>
      <w:r w:rsidRPr="00E52F47">
        <w:t>bisfosfonáty</w:t>
      </w:r>
      <w:proofErr w:type="spellEnd"/>
      <w:r w:rsidRPr="00E52F47">
        <w:t xml:space="preserve">, nebo </w:t>
      </w:r>
      <w:proofErr w:type="spellStart"/>
      <w:r w:rsidRPr="00E52F47">
        <w:t>denosumab</w:t>
      </w:r>
      <w:proofErr w:type="spellEnd"/>
      <w:r>
        <w:t xml:space="preserve">. </w:t>
      </w:r>
      <w:proofErr w:type="spellStart"/>
      <w:r>
        <w:t>Bisfosfonáty</w:t>
      </w:r>
      <w:proofErr w:type="spellEnd"/>
      <w:r>
        <w:t xml:space="preserve"> se pevně váží na kostní minerál a indukují apoptózu osteoklastů. Síla vazby a účinek na osteoklasty závisí na chemické struktuře </w:t>
      </w:r>
      <w:proofErr w:type="spellStart"/>
      <w:r>
        <w:t>bisfosfonátu</w:t>
      </w:r>
      <w:proofErr w:type="spellEnd"/>
      <w:r>
        <w:t>, nejnižší je u první, nedusíkaté generace (</w:t>
      </w:r>
      <w:proofErr w:type="spellStart"/>
      <w:r>
        <w:t>etidronát</w:t>
      </w:r>
      <w:proofErr w:type="spellEnd"/>
      <w:r>
        <w:t xml:space="preserve">, </w:t>
      </w:r>
      <w:proofErr w:type="spellStart"/>
      <w:r>
        <w:t>klodronát</w:t>
      </w:r>
      <w:proofErr w:type="spellEnd"/>
      <w:r>
        <w:t xml:space="preserve">, </w:t>
      </w:r>
      <w:proofErr w:type="spellStart"/>
      <w:r>
        <w:t>tiludronát</w:t>
      </w:r>
      <w:proofErr w:type="spellEnd"/>
      <w:r>
        <w:t xml:space="preserve">), a stoupá u dusíkatých </w:t>
      </w:r>
      <w:proofErr w:type="spellStart"/>
      <w:r>
        <w:t>bisfosfonátů</w:t>
      </w:r>
      <w:proofErr w:type="spellEnd"/>
      <w:r>
        <w:t xml:space="preserve"> 2. (</w:t>
      </w:r>
      <w:proofErr w:type="spellStart"/>
      <w:r>
        <w:t>pamidronát</w:t>
      </w:r>
      <w:proofErr w:type="spellEnd"/>
      <w:r>
        <w:t xml:space="preserve">, </w:t>
      </w:r>
      <w:proofErr w:type="spellStart"/>
      <w:r>
        <w:t>aledronát</w:t>
      </w:r>
      <w:proofErr w:type="spellEnd"/>
      <w:r>
        <w:t>) a zejména 3. generace (</w:t>
      </w:r>
      <w:proofErr w:type="spellStart"/>
      <w:r>
        <w:t>risedronát</w:t>
      </w:r>
      <w:proofErr w:type="spellEnd"/>
      <w:r>
        <w:t xml:space="preserve">, </w:t>
      </w:r>
      <w:proofErr w:type="spellStart"/>
      <w:r>
        <w:t>ibadronát</w:t>
      </w:r>
      <w:proofErr w:type="spellEnd"/>
      <w:r>
        <w:t xml:space="preserve">, </w:t>
      </w:r>
      <w:proofErr w:type="spellStart"/>
      <w:r>
        <w:t>zolendronát</w:t>
      </w:r>
      <w:proofErr w:type="spellEnd"/>
      <w:r>
        <w:t xml:space="preserve">). Riziko rozvoje MRONJ </w:t>
      </w:r>
      <w:r w:rsidRPr="00010006">
        <w:t>u</w:t>
      </w:r>
      <w:r>
        <w:rPr>
          <w:color w:val="FF0000"/>
        </w:rPr>
        <w:t xml:space="preserve"> </w:t>
      </w:r>
      <w:proofErr w:type="spellStart"/>
      <w:r w:rsidRPr="00010006">
        <w:t>bisfosfonátů</w:t>
      </w:r>
      <w:proofErr w:type="spellEnd"/>
      <w:r>
        <w:rPr>
          <w:color w:val="FF0000"/>
        </w:rPr>
        <w:t xml:space="preserve"> </w:t>
      </w:r>
      <w:r w:rsidRPr="006F1B4B">
        <w:t>závisí</w:t>
      </w:r>
      <w:r>
        <w:rPr>
          <w:color w:val="FF0000"/>
        </w:rPr>
        <w:t xml:space="preserve"> </w:t>
      </w:r>
      <w:r>
        <w:t xml:space="preserve">na kumulované dávce léčiva, pacienti léčeni vysokými dávkami z onkologické indikace jsou, proto ohroženi násobně více </w:t>
      </w:r>
      <w:sdt>
        <w:sdtPr>
          <w:id w:val="-1104570305"/>
          <w:citation/>
        </w:sdtPr>
        <w:sdtContent>
          <w:r w:rsidR="005279FB">
            <w:fldChar w:fldCharType="begin"/>
          </w:r>
          <w:r>
            <w:instrText xml:space="preserve"> CITATION hZVwzgyak0ZcpZ7z </w:instrText>
          </w:r>
          <w:r w:rsidR="005279FB">
            <w:fldChar w:fldCharType="separate"/>
          </w:r>
          <w:r>
            <w:rPr>
              <w:noProof/>
            </w:rPr>
            <w:t>[2]</w:t>
          </w:r>
          <w:r w:rsidR="005279FB">
            <w:fldChar w:fldCharType="end"/>
          </w:r>
        </w:sdtContent>
      </w:sdt>
      <w:r>
        <w:t xml:space="preserve">, </w:t>
      </w:r>
      <w:sdt>
        <w:sdtPr>
          <w:id w:val="1856765379"/>
          <w:citation/>
        </w:sdtPr>
        <w:sdtContent>
          <w:r w:rsidR="005279FB">
            <w:fldChar w:fldCharType="begin"/>
          </w:r>
          <w:r>
            <w:instrText xml:space="preserve"> CITATION 4yyjjyeKVoEUrMKT </w:instrText>
          </w:r>
          <w:r w:rsidR="005279FB">
            <w:fldChar w:fldCharType="separate"/>
          </w:r>
          <w:r>
            <w:rPr>
              <w:noProof/>
            </w:rPr>
            <w:t>[3]</w:t>
          </w:r>
          <w:r w:rsidR="005279FB">
            <w:fldChar w:fldCharType="end"/>
          </w:r>
        </w:sdtContent>
      </w:sdt>
      <w:r>
        <w:t xml:space="preserve">. Vysoké hladiny </w:t>
      </w:r>
      <w:proofErr w:type="spellStart"/>
      <w:r>
        <w:t>bisfosfonátů</w:t>
      </w:r>
      <w:proofErr w:type="spellEnd"/>
      <w:r>
        <w:t xml:space="preserve"> v kostech přetrvávají i léta po ukončené terapii. </w:t>
      </w:r>
      <w:proofErr w:type="spellStart"/>
      <w:r>
        <w:t>Denosumab</w:t>
      </w:r>
      <w:proofErr w:type="spellEnd"/>
      <w:r>
        <w:t xml:space="preserve"> </w:t>
      </w:r>
      <w:r w:rsidRPr="00010006">
        <w:t xml:space="preserve">je monoklonální protilátka blokující ligand receptoru RANK, který je klíčový pro vyzrávání a funkci osteoklastů. Na rozdíl od </w:t>
      </w:r>
      <w:proofErr w:type="spellStart"/>
      <w:r w:rsidRPr="00010006">
        <w:t>bisfosfonátů</w:t>
      </w:r>
      <w:proofErr w:type="spellEnd"/>
      <w:r w:rsidRPr="00010006">
        <w:t xml:space="preserve">, </w:t>
      </w:r>
      <w:proofErr w:type="spellStart"/>
      <w:r w:rsidRPr="00010006">
        <w:t>denosumab</w:t>
      </w:r>
      <w:proofErr w:type="spellEnd"/>
      <w:r w:rsidRPr="00010006">
        <w:t xml:space="preserve"> koluje v krvi, nedochází k jeho vazbě na kostní minerál, a proto je jeho akumulace v organismu minimální. Díky tomu dochází po jeho vysazení k rychlejšímu zvratu jeho účinku</w:t>
      </w:r>
      <w:r>
        <w:t xml:space="preserve"> </w:t>
      </w:r>
      <w:sdt>
        <w:sdtPr>
          <w:id w:val="-1953234103"/>
          <w:citation/>
        </w:sdtPr>
        <w:sdtContent>
          <w:r w:rsidR="005279FB">
            <w:fldChar w:fldCharType="begin"/>
          </w:r>
          <w:r>
            <w:instrText xml:space="preserve"> CITATION WEgoalEOol3mYE7i </w:instrText>
          </w:r>
          <w:r w:rsidR="005279FB">
            <w:fldChar w:fldCharType="separate"/>
          </w:r>
          <w:r>
            <w:rPr>
              <w:noProof/>
            </w:rPr>
            <w:t>[4]</w:t>
          </w:r>
          <w:r w:rsidR="005279FB">
            <w:fldChar w:fldCharType="end"/>
          </w:r>
        </w:sdtContent>
      </w:sdt>
      <w:r w:rsidRPr="00010006">
        <w:t>.</w:t>
      </w:r>
    </w:p>
    <w:p w:rsidR="003337A4" w:rsidRPr="003D6946" w:rsidRDefault="003337A4" w:rsidP="003337A4">
      <w:pPr>
        <w:jc w:val="both"/>
        <w:rPr>
          <w:b/>
        </w:rPr>
      </w:pPr>
      <w:r w:rsidRPr="003D6946">
        <w:rPr>
          <w:b/>
        </w:rPr>
        <w:t>Prevence</w:t>
      </w:r>
    </w:p>
    <w:p w:rsidR="003337A4" w:rsidRDefault="003337A4" w:rsidP="003337A4">
      <w:pPr>
        <w:jc w:val="both"/>
      </w:pPr>
      <w:r>
        <w:t xml:space="preserve">Protože MRONJ nejčastěji vzniká po extrakci zubu, je důležitá její prevence. Podle platných odborných doporučení by specialista neměl zahájit antiresorpční léčbu bez předchozího vyšetření pacienta zubním lékařem (výjimkou je maligní </w:t>
      </w:r>
      <w:proofErr w:type="spellStart"/>
      <w:r>
        <w:t>hyperkalcemie</w:t>
      </w:r>
      <w:proofErr w:type="spellEnd"/>
      <w:r>
        <w:t>)</w:t>
      </w:r>
      <w:sdt>
        <w:sdtPr>
          <w:id w:val="122810880"/>
          <w:citation/>
        </w:sdtPr>
        <w:sdtContent>
          <w:r w:rsidR="005279FB">
            <w:fldChar w:fldCharType="begin"/>
          </w:r>
          <w:r>
            <w:instrText xml:space="preserve"> CITATION 0Qi5qtXO03suAaUr </w:instrText>
          </w:r>
          <w:r w:rsidR="005279FB">
            <w:fldChar w:fldCharType="separate"/>
          </w:r>
          <w:r>
            <w:rPr>
              <w:noProof/>
            </w:rPr>
            <w:t xml:space="preserve"> [5]</w:t>
          </w:r>
          <w:r w:rsidR="005279FB">
            <w:fldChar w:fldCharType="end"/>
          </w:r>
        </w:sdtContent>
      </w:sdt>
      <w:r>
        <w:t xml:space="preserve">, </w:t>
      </w:r>
      <w:sdt>
        <w:sdtPr>
          <w:id w:val="669460007"/>
          <w:citation/>
        </w:sdtPr>
        <w:sdtContent>
          <w:r w:rsidR="005279FB">
            <w:fldChar w:fldCharType="begin"/>
          </w:r>
          <w:r>
            <w:instrText xml:space="preserve"> CITATION Eijyh0jBJWy3rR6o </w:instrText>
          </w:r>
          <w:r w:rsidR="005279FB">
            <w:fldChar w:fldCharType="separate"/>
          </w:r>
          <w:r>
            <w:rPr>
              <w:noProof/>
            </w:rPr>
            <w:t>[6]</w:t>
          </w:r>
          <w:r w:rsidR="005279FB">
            <w:fldChar w:fldCharType="end"/>
          </w:r>
        </w:sdtContent>
      </w:sdt>
      <w:r>
        <w:t>. Úkolem zubního lékaře je vyloučit floridní zánětlivá ložiska (</w:t>
      </w:r>
      <w:proofErr w:type="spellStart"/>
      <w:r>
        <w:t>periapikální</w:t>
      </w:r>
      <w:proofErr w:type="spellEnd"/>
      <w:r>
        <w:t xml:space="preserve"> nálezy, pokročilá stádia </w:t>
      </w:r>
      <w:proofErr w:type="spellStart"/>
      <w:r>
        <w:t>parodontitidy</w:t>
      </w:r>
      <w:proofErr w:type="spellEnd"/>
      <w:r>
        <w:t xml:space="preserve">) a spíše radikálně zhodnotit biologický faktor a prognózu přítomných zubů. Cílem je vyhnout se po nasazení antiresorpční léčby invazivním zákrokům v dutině ústní (extrakce zubů, </w:t>
      </w:r>
      <w:proofErr w:type="spellStart"/>
      <w:r>
        <w:t>periapikální</w:t>
      </w:r>
      <w:proofErr w:type="spellEnd"/>
      <w:r>
        <w:t xml:space="preserve"> chirurgie, otevřená kyretáž), často po mnoho následujících let. Zákroky neporušující slizniční kryt kontraindikovány nejsou </w:t>
      </w:r>
      <w:sdt>
        <w:sdtPr>
          <w:id w:val="1049967137"/>
          <w:citation/>
        </w:sdtPr>
        <w:sdtContent>
          <w:r w:rsidR="005279FB">
            <w:fldChar w:fldCharType="begin"/>
          </w:r>
          <w:r>
            <w:instrText xml:space="preserve"> CITATION iaGV0x8AVnk7hdnL </w:instrText>
          </w:r>
          <w:r w:rsidR="005279FB">
            <w:fldChar w:fldCharType="separate"/>
          </w:r>
          <w:r>
            <w:rPr>
              <w:noProof/>
            </w:rPr>
            <w:t>[1]</w:t>
          </w:r>
          <w:r w:rsidR="005279FB">
            <w:fldChar w:fldCharType="end"/>
          </w:r>
        </w:sdtContent>
      </w:sdt>
      <w:r>
        <w:t>. Častou příčinou MRONJ jsou i slizniční dekubity způs</w:t>
      </w:r>
      <w:r w:rsidR="00D01FA4">
        <w:t>o</w:t>
      </w:r>
      <w:r>
        <w:t xml:space="preserve">bené protetickými pracemi. </w:t>
      </w:r>
      <w:r w:rsidRPr="00FC1B3E">
        <w:t xml:space="preserve">Před zahájením antiresorpční léčby je </w:t>
      </w:r>
      <w:r>
        <w:t>proto</w:t>
      </w:r>
      <w:r w:rsidRPr="00FC1B3E">
        <w:t xml:space="preserve"> vhodné dokončit případnou protetickou rehabilitaci chrupu, a to zejména snímatelné náhrady a můstky.</w:t>
      </w:r>
      <w:r>
        <w:rPr>
          <w:color w:val="FF0000"/>
        </w:rPr>
        <w:t xml:space="preserve"> </w:t>
      </w:r>
      <w:r>
        <w:t>Nutná je i řádná edukace pacienta a případně profesionální dentální hygiena.</w:t>
      </w:r>
    </w:p>
    <w:p w:rsidR="003337A4" w:rsidRDefault="003337A4" w:rsidP="003337A4">
      <w:pPr>
        <w:jc w:val="both"/>
        <w:rPr>
          <w:b/>
        </w:rPr>
      </w:pPr>
    </w:p>
    <w:p w:rsidR="003337A4" w:rsidRDefault="003337A4" w:rsidP="003337A4">
      <w:pPr>
        <w:jc w:val="both"/>
        <w:rPr>
          <w:b/>
        </w:rPr>
      </w:pPr>
    </w:p>
    <w:p w:rsidR="003337A4" w:rsidRDefault="003337A4" w:rsidP="003337A4">
      <w:pPr>
        <w:jc w:val="both"/>
        <w:rPr>
          <w:b/>
        </w:rPr>
      </w:pPr>
    </w:p>
    <w:p w:rsidR="003337A4" w:rsidRPr="003D6946" w:rsidRDefault="003337A4" w:rsidP="003337A4">
      <w:pPr>
        <w:jc w:val="both"/>
        <w:rPr>
          <w:b/>
        </w:rPr>
      </w:pPr>
      <w:r w:rsidRPr="003D6946">
        <w:rPr>
          <w:b/>
        </w:rPr>
        <w:t>Opatření při extrakci</w:t>
      </w:r>
    </w:p>
    <w:p w:rsidR="003337A4" w:rsidRDefault="003337A4" w:rsidP="003337A4">
      <w:pPr>
        <w:jc w:val="both"/>
      </w:pPr>
      <w:r>
        <w:t>Pokud je u pacienta s již probíhající antiresorpční terapií</w:t>
      </w:r>
      <w:r>
        <w:rPr>
          <w:rStyle w:val="Znakapoznpodarou"/>
        </w:rPr>
        <w:footnoteReference w:id="1"/>
      </w:r>
      <w:r>
        <w:t xml:space="preserve"> indikován zub k extrakci</w:t>
      </w:r>
      <w:r w:rsidRPr="00501BF8">
        <w:t>,</w:t>
      </w:r>
      <w:r>
        <w:t xml:space="preserve"> doporučuje se postupovat podle následujících schémat:</w:t>
      </w:r>
    </w:p>
    <w:p w:rsidR="003337A4" w:rsidRPr="00397BD3" w:rsidRDefault="003337A4" w:rsidP="003337A4">
      <w:pPr>
        <w:jc w:val="both"/>
        <w:rPr>
          <w:color w:val="FF0000"/>
        </w:rPr>
      </w:pPr>
      <w:r>
        <w:t xml:space="preserve">V případě jinak klidného radixu indikovaného k extrakci z protetických důvodů (např. nedostatečná ferule), se extrakce onkologických pacientů nedoporučuje. Vhodné je radix endodonticky ošetřit, zkrátit do </w:t>
      </w:r>
      <w:proofErr w:type="spellStart"/>
      <w:r>
        <w:t>niveau</w:t>
      </w:r>
      <w:proofErr w:type="spellEnd"/>
      <w:r>
        <w:t xml:space="preserve"> alveolu a nechat přerůst gingivou. U pacientů s osteoporózou bez dalších rizikových faktorů (imunosuprese, užívání antiresorpční terapie déle než 4 roky), je riziko rozvoje MRONJ nižší a ponechání radixu v čelisti musí být pečlivě zváženo.</w:t>
      </w:r>
    </w:p>
    <w:p w:rsidR="003337A4" w:rsidRDefault="003337A4" w:rsidP="003337A4">
      <w:pPr>
        <w:jc w:val="both"/>
      </w:pPr>
      <w:r>
        <w:t>Pokud nelze zub endodonticky ošetřit a ponechat v čelisti je vhodný následující postup:</w:t>
      </w:r>
    </w:p>
    <w:p w:rsidR="003337A4" w:rsidRDefault="003337A4" w:rsidP="003337A4">
      <w:pPr>
        <w:pStyle w:val="Odstavecseseznamem"/>
        <w:numPr>
          <w:ilvl w:val="0"/>
          <w:numId w:val="13"/>
        </w:numPr>
        <w:jc w:val="both"/>
      </w:pPr>
      <w:r>
        <w:t>Doplnit ústní hygienu o výplachy prostředkem s obsahem chlorhexidinu 1 – 2 týdny před extrakcí (pokud to klinická situace umožní)</w:t>
      </w:r>
    </w:p>
    <w:p w:rsidR="003337A4" w:rsidRDefault="003337A4" w:rsidP="003337A4">
      <w:pPr>
        <w:pStyle w:val="Odstavecseseznamem"/>
        <w:numPr>
          <w:ilvl w:val="0"/>
          <w:numId w:val="13"/>
        </w:numPr>
        <w:jc w:val="both"/>
      </w:pPr>
      <w:proofErr w:type="spellStart"/>
      <w:r>
        <w:t>Předléčení</w:t>
      </w:r>
      <w:proofErr w:type="spellEnd"/>
      <w:r>
        <w:t xml:space="preserve"> antibiotiky (</w:t>
      </w:r>
      <w:proofErr w:type="spellStart"/>
      <w:r>
        <w:t>amoxicilin</w:t>
      </w:r>
      <w:proofErr w:type="spellEnd"/>
      <w:r>
        <w:t xml:space="preserve"> + kyselina </w:t>
      </w:r>
      <w:proofErr w:type="spellStart"/>
      <w:r>
        <w:t>klavulonová</w:t>
      </w:r>
      <w:proofErr w:type="spellEnd"/>
      <w:r>
        <w:t xml:space="preserve"> (1 g á 12 hod), při alergii na PNC klindamycin300 mg á 8 hod) jeden až tři dny před extrakcí (v případě přítomnosti zánětu i déle)</w:t>
      </w:r>
    </w:p>
    <w:p w:rsidR="003337A4" w:rsidRDefault="003337A4" w:rsidP="003337A4">
      <w:pPr>
        <w:pStyle w:val="Odstavecseseznamem"/>
        <w:numPr>
          <w:ilvl w:val="0"/>
          <w:numId w:val="13"/>
        </w:numPr>
        <w:jc w:val="both"/>
      </w:pPr>
      <w:r>
        <w:t>Šetrná extrakce s egalizací okrajů alveolu a sept (nahrazení funkce osteoklastů)</w:t>
      </w:r>
    </w:p>
    <w:p w:rsidR="003337A4" w:rsidRDefault="003337A4" w:rsidP="003337A4">
      <w:pPr>
        <w:pStyle w:val="Odstavecseseznamem"/>
        <w:numPr>
          <w:ilvl w:val="0"/>
          <w:numId w:val="13"/>
        </w:numPr>
        <w:jc w:val="both"/>
      </w:pPr>
      <w:r>
        <w:t>Sutura rány</w:t>
      </w:r>
    </w:p>
    <w:p w:rsidR="003337A4" w:rsidRDefault="003337A4" w:rsidP="003337A4">
      <w:pPr>
        <w:pStyle w:val="Odstavecseseznamem"/>
        <w:numPr>
          <w:ilvl w:val="0"/>
          <w:numId w:val="13"/>
        </w:numPr>
        <w:jc w:val="both"/>
      </w:pPr>
      <w:r>
        <w:t>Pokračování v ATB krytí do zhojení sliznic (většinou 7–10 dní)</w:t>
      </w:r>
    </w:p>
    <w:p w:rsidR="003337A4" w:rsidRPr="00310A4B" w:rsidRDefault="003337A4" w:rsidP="003337A4">
      <w:pPr>
        <w:jc w:val="both"/>
        <w:rPr>
          <w:b/>
        </w:rPr>
      </w:pPr>
      <w:r>
        <w:rPr>
          <w:b/>
        </w:rPr>
        <w:t>Přerušení terapie</w:t>
      </w:r>
    </w:p>
    <w:p w:rsidR="003337A4" w:rsidRPr="00BF37A1" w:rsidRDefault="003337A4" w:rsidP="003337A4">
      <w:pPr>
        <w:jc w:val="both"/>
        <w:rPr>
          <w:color w:val="FF0000"/>
        </w:rPr>
      </w:pPr>
      <w:r>
        <w:t xml:space="preserve">Problematika přerušení antiresorpční terapie není jednoznačná. U pacientů léčených </w:t>
      </w:r>
      <w:proofErr w:type="spellStart"/>
      <w:r>
        <w:t>bisfosfonáty</w:t>
      </w:r>
      <w:proofErr w:type="spellEnd"/>
      <w:r>
        <w:t xml:space="preserve"> pro osteoporózu se pro extrémně dlouhý poločas léčiva v kostní tkáni </w:t>
      </w:r>
      <w:r w:rsidRPr="000672FD">
        <w:t>se</w:t>
      </w:r>
      <w:r>
        <w:t xml:space="preserve"> přerušení terapie pouze z důvodu extrakce zubu nedoporučuje. Po konzultaci s ošetřujícím lékařem lze v některých případech využít tzv. „</w:t>
      </w:r>
      <w:proofErr w:type="spellStart"/>
      <w:r>
        <w:t>drug</w:t>
      </w:r>
      <w:proofErr w:type="spellEnd"/>
      <w:r>
        <w:t xml:space="preserve"> </w:t>
      </w:r>
      <w:r w:rsidRPr="00435C99">
        <w:rPr>
          <w:lang w:val="en-GB"/>
        </w:rPr>
        <w:t>holiday</w:t>
      </w:r>
      <w:r>
        <w:rPr>
          <w:lang w:val="en-GB"/>
        </w:rPr>
        <w:t>s</w:t>
      </w:r>
      <w:r>
        <w:t xml:space="preserve">“ – přerušení dlouhodobé léčby u pacientů se stabilizací kostní </w:t>
      </w:r>
      <w:proofErr w:type="spellStart"/>
      <w:r>
        <w:t>denzity</w:t>
      </w:r>
      <w:proofErr w:type="spellEnd"/>
      <w:r>
        <w:t xml:space="preserve">. </w:t>
      </w:r>
      <w:proofErr w:type="spellStart"/>
      <w:r>
        <w:t>Denosumab</w:t>
      </w:r>
      <w:proofErr w:type="spellEnd"/>
      <w:r>
        <w:t xml:space="preserve"> má obrat v organismu podstatně rychlejší a pokud je to možné, je dobré extrakci provést zhruba 1 – 2 měsíc před novou dávkou </w:t>
      </w:r>
      <w:proofErr w:type="spellStart"/>
      <w:r>
        <w:t>denosumabu</w:t>
      </w:r>
      <w:proofErr w:type="spellEnd"/>
      <w:r>
        <w:t xml:space="preserve"> (podávání je á 6 měsíců).</w:t>
      </w:r>
      <w:r>
        <w:rPr>
          <w:color w:val="FF0000"/>
        </w:rPr>
        <w:t xml:space="preserve"> </w:t>
      </w:r>
    </w:p>
    <w:p w:rsidR="003337A4" w:rsidRDefault="003337A4" w:rsidP="003337A4">
      <w:pPr>
        <w:jc w:val="both"/>
        <w:rPr>
          <w:rFonts w:cstheme="minorHAnsi"/>
          <w:color w:val="FF0000"/>
        </w:rPr>
      </w:pPr>
      <w:r>
        <w:t xml:space="preserve">U onkologických pacientů může být přerušení terapie přínosné vzhledem k možnému podílu slizniční toxicity vysokých dávek </w:t>
      </w:r>
      <w:proofErr w:type="spellStart"/>
      <w:r>
        <w:t>bisfosfonátů</w:t>
      </w:r>
      <w:proofErr w:type="spellEnd"/>
      <w:r>
        <w:t>. Vždy je nutné konzultovat ošetřujícího onkologa a postupovat dle jeho doporučení</w:t>
      </w:r>
      <w:sdt>
        <w:sdtPr>
          <w:id w:val="393474968"/>
          <w:citation/>
        </w:sdtPr>
        <w:sdtContent>
          <w:r w:rsidR="005279FB">
            <w:fldChar w:fldCharType="begin"/>
          </w:r>
          <w:r>
            <w:instrText xml:space="preserve"> CITATION w2ldC50KHRY0e2F8 </w:instrText>
          </w:r>
          <w:r w:rsidR="005279FB">
            <w:fldChar w:fldCharType="separate"/>
          </w:r>
          <w:r>
            <w:rPr>
              <w:noProof/>
            </w:rPr>
            <w:t xml:space="preserve"> [7]</w:t>
          </w:r>
          <w:r w:rsidR="005279FB">
            <w:fldChar w:fldCharType="end"/>
          </w:r>
        </w:sdtContent>
      </w:sdt>
      <w:r>
        <w:t>.Totéž platí pro pacienty užívající jiná léčiva podezřelá z možnosti indukce MRONJ.</w:t>
      </w:r>
      <w:r w:rsidRPr="009905BD">
        <w:rPr>
          <w:rFonts w:cstheme="minorHAnsi"/>
        </w:rPr>
        <w:t xml:space="preserve"> </w:t>
      </w:r>
      <w:r>
        <w:rPr>
          <w:rFonts w:cstheme="minorHAnsi"/>
        </w:rPr>
        <w:t>J</w:t>
      </w:r>
      <w:r>
        <w:t xml:space="preserve">edná se zejména o </w:t>
      </w:r>
      <w:proofErr w:type="spellStart"/>
      <w:r>
        <w:t>antiangiogenní</w:t>
      </w:r>
      <w:proofErr w:type="spellEnd"/>
      <w:r>
        <w:t xml:space="preserve"> a proti kinázové monoklonální protilátky.</w:t>
      </w:r>
      <w:r w:rsidRPr="009905BD">
        <w:rPr>
          <w:rFonts w:cstheme="minorHAnsi"/>
        </w:rPr>
        <w:t xml:space="preserve"> Asociace s MRONJ byla popsána u </w:t>
      </w:r>
      <w:proofErr w:type="spellStart"/>
      <w:r w:rsidRPr="009905BD">
        <w:rPr>
          <w:rFonts w:cstheme="minorHAnsi"/>
        </w:rPr>
        <w:t>bevacizumabu</w:t>
      </w:r>
      <w:proofErr w:type="spellEnd"/>
      <w:r w:rsidRPr="009905BD">
        <w:rPr>
          <w:rFonts w:cstheme="minorHAnsi"/>
        </w:rPr>
        <w:t xml:space="preserve">, </w:t>
      </w:r>
      <w:proofErr w:type="spellStart"/>
      <w:r w:rsidRPr="009905BD">
        <w:rPr>
          <w:rFonts w:cstheme="minorHAnsi"/>
        </w:rPr>
        <w:t>sunitinibu</w:t>
      </w:r>
      <w:proofErr w:type="spellEnd"/>
      <w:r w:rsidRPr="009905BD">
        <w:rPr>
          <w:rFonts w:cstheme="minorHAnsi"/>
        </w:rPr>
        <w:t xml:space="preserve">, </w:t>
      </w:r>
      <w:proofErr w:type="spellStart"/>
      <w:r w:rsidRPr="009905BD">
        <w:rPr>
          <w:rFonts w:cstheme="minorHAnsi"/>
        </w:rPr>
        <w:t>sorafenibu</w:t>
      </w:r>
      <w:proofErr w:type="spellEnd"/>
      <w:r w:rsidRPr="009905BD">
        <w:rPr>
          <w:rFonts w:cstheme="minorHAnsi"/>
        </w:rPr>
        <w:t xml:space="preserve">, </w:t>
      </w:r>
      <w:proofErr w:type="spellStart"/>
      <w:r w:rsidRPr="009905BD">
        <w:rPr>
          <w:rFonts w:cstheme="minorHAnsi"/>
        </w:rPr>
        <w:t>everolimu</w:t>
      </w:r>
      <w:proofErr w:type="spellEnd"/>
      <w:r w:rsidRPr="009905BD">
        <w:rPr>
          <w:rFonts w:cstheme="minorHAnsi"/>
        </w:rPr>
        <w:t xml:space="preserve">, </w:t>
      </w:r>
      <w:proofErr w:type="spellStart"/>
      <w:r w:rsidRPr="009905BD">
        <w:rPr>
          <w:rFonts w:cstheme="minorHAnsi"/>
        </w:rPr>
        <w:t>imatinibu</w:t>
      </w:r>
      <w:proofErr w:type="spellEnd"/>
      <w:r w:rsidRPr="009905BD">
        <w:rPr>
          <w:rFonts w:cstheme="minorHAnsi"/>
        </w:rPr>
        <w:t xml:space="preserve">, </w:t>
      </w:r>
      <w:proofErr w:type="spellStart"/>
      <w:r w:rsidRPr="009905BD">
        <w:rPr>
          <w:rFonts w:cstheme="minorHAnsi"/>
        </w:rPr>
        <w:t>afliberceptu</w:t>
      </w:r>
      <w:proofErr w:type="spellEnd"/>
      <w:r w:rsidRPr="009905BD">
        <w:rPr>
          <w:rFonts w:cstheme="minorHAnsi"/>
        </w:rPr>
        <w:t xml:space="preserve">, </w:t>
      </w:r>
      <w:proofErr w:type="spellStart"/>
      <w:r w:rsidRPr="009905BD">
        <w:rPr>
          <w:rFonts w:cstheme="minorHAnsi"/>
        </w:rPr>
        <w:t>methotrexátu</w:t>
      </w:r>
      <w:proofErr w:type="spellEnd"/>
      <w:r w:rsidRPr="009905BD">
        <w:rPr>
          <w:rFonts w:cstheme="minorHAnsi"/>
        </w:rPr>
        <w:t>.</w:t>
      </w:r>
    </w:p>
    <w:p w:rsidR="003337A4" w:rsidRPr="00D01FA4" w:rsidRDefault="003337A4" w:rsidP="003337A4">
      <w:pPr>
        <w:pStyle w:val="Bibliografie"/>
        <w:rPr>
          <w:rFonts w:ascii="Arial" w:hAnsi="Arial" w:cs="Arial"/>
          <w:sz w:val="20"/>
          <w:szCs w:val="20"/>
        </w:rPr>
      </w:pPr>
      <w:r w:rsidRPr="00D01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FA4">
        <w:rPr>
          <w:rFonts w:ascii="Arial" w:hAnsi="Arial" w:cs="Arial"/>
          <w:b/>
        </w:rPr>
        <w:t>Implantologie</w:t>
      </w:r>
      <w:proofErr w:type="spellEnd"/>
      <w:r w:rsidRPr="00D01FA4">
        <w:rPr>
          <w:rFonts w:ascii="Arial" w:hAnsi="Arial" w:cs="Arial"/>
          <w:b/>
        </w:rPr>
        <w:t>, snímatelné náhrady, ortodoncie</w:t>
      </w:r>
    </w:p>
    <w:p w:rsidR="003337A4" w:rsidRPr="008B4A6D" w:rsidRDefault="003337A4" w:rsidP="003337A4">
      <w:pPr>
        <w:jc w:val="both"/>
      </w:pPr>
      <w:r>
        <w:t xml:space="preserve">U pacientů ošetřených snímatelnými náhradami chrupu je třeba věnovat pozornost případným dekubitům sliznice a možnosti </w:t>
      </w:r>
      <w:r w:rsidRPr="008B4A6D">
        <w:t xml:space="preserve">vzniku MRONJ v těchto místech. Zejména v oblastech linea </w:t>
      </w:r>
      <w:proofErr w:type="spellStart"/>
      <w:r w:rsidRPr="008B4A6D">
        <w:t>mylohyoidea</w:t>
      </w:r>
      <w:proofErr w:type="spellEnd"/>
      <w:r w:rsidRPr="008B4A6D">
        <w:t>, palatinálního a mandibulárních torů.</w:t>
      </w:r>
    </w:p>
    <w:p w:rsidR="003337A4" w:rsidRPr="008B4A6D" w:rsidRDefault="003337A4" w:rsidP="003337A4">
      <w:pPr>
        <w:jc w:val="both"/>
        <w:rPr>
          <w:rFonts w:ascii="Calibri" w:hAnsi="Calibri" w:cs="Calibri"/>
          <w:sz w:val="20"/>
          <w:szCs w:val="20"/>
        </w:rPr>
      </w:pPr>
      <w:r w:rsidRPr="008B4A6D">
        <w:t xml:space="preserve">Zavádění dentálních implantátů je u onkologických pacientů s rizikovou medikací až na výjimky kontraindikováno. U </w:t>
      </w:r>
      <w:proofErr w:type="spellStart"/>
      <w:r w:rsidRPr="008B4A6D">
        <w:t>osteoporotických</w:t>
      </w:r>
      <w:proofErr w:type="spellEnd"/>
      <w:r w:rsidRPr="008B4A6D">
        <w:t xml:space="preserve"> nemocných bez </w:t>
      </w:r>
      <w:proofErr w:type="spellStart"/>
      <w:r w:rsidRPr="008B4A6D">
        <w:t>přídružených</w:t>
      </w:r>
      <w:proofErr w:type="spellEnd"/>
      <w:r w:rsidRPr="008B4A6D">
        <w:t xml:space="preserve"> rizikových faktorů (kortikosteroidy, abusus, </w:t>
      </w:r>
      <w:proofErr w:type="spellStart"/>
      <w:r w:rsidRPr="008B4A6D">
        <w:t>malhygiena</w:t>
      </w:r>
      <w:proofErr w:type="spellEnd"/>
      <w:r w:rsidRPr="008B4A6D">
        <w:t xml:space="preserve">) je implantace možná, i když s rizikem rozvoje MRONJ. V případě, že je to možné, je vhodné zvolit protetické ošetření bez použití </w:t>
      </w:r>
      <w:r w:rsidRPr="008B4A6D">
        <w:lastRenderedPageBreak/>
        <w:t xml:space="preserve">dentálních implantátů. Doporučuje se ATB krytí a použití konzervativních protokolů. Již zavedené implantáty by neměly představovat vyšší riziko vzniku MRONJ, než pacientovy vlastní zuby. Implantáty s komplikacemi (MRONJ, </w:t>
      </w:r>
      <w:proofErr w:type="spellStart"/>
      <w:r w:rsidRPr="008B4A6D">
        <w:t>periimplantitida</w:t>
      </w:r>
      <w:proofErr w:type="spellEnd"/>
      <w:r w:rsidRPr="008B4A6D">
        <w:t xml:space="preserve">) je vhodné ošetřovat maximálně konzervativně a k explantaci </w:t>
      </w:r>
      <w:proofErr w:type="spellStart"/>
      <w:r w:rsidRPr="008B4A6D">
        <w:t>fixtury</w:t>
      </w:r>
      <w:proofErr w:type="spellEnd"/>
      <w:r w:rsidRPr="008B4A6D">
        <w:t xml:space="preserve"> přistoupit až v terminálním stádiu. </w:t>
      </w:r>
    </w:p>
    <w:p w:rsidR="003337A4" w:rsidRPr="008B4A6D" w:rsidRDefault="003337A4" w:rsidP="003337A4">
      <w:pPr>
        <w:jc w:val="both"/>
      </w:pPr>
      <w:r w:rsidRPr="008B4A6D">
        <w:t>Otázka augmentačních postupů není uzavřena, momentálně nejsou tyto postupy doporučeny</w:t>
      </w:r>
      <w:sdt>
        <w:sdtPr>
          <w:id w:val="-594092394"/>
          <w:citation/>
        </w:sdtPr>
        <w:sdtContent>
          <w:r w:rsidR="005279FB" w:rsidRPr="008B4A6D">
            <w:fldChar w:fldCharType="begin"/>
          </w:r>
          <w:r w:rsidRPr="008B4A6D">
            <w:instrText xml:space="preserve"> CITATION IDznMhIe0Lwt8u5C </w:instrText>
          </w:r>
          <w:r w:rsidR="005279FB" w:rsidRPr="008B4A6D">
            <w:fldChar w:fldCharType="separate"/>
          </w:r>
          <w:r>
            <w:rPr>
              <w:noProof/>
            </w:rPr>
            <w:t xml:space="preserve"> [8]</w:t>
          </w:r>
          <w:r w:rsidR="005279FB" w:rsidRPr="008B4A6D">
            <w:fldChar w:fldCharType="end"/>
          </w:r>
        </w:sdtContent>
      </w:sdt>
      <w:r w:rsidRPr="008B4A6D">
        <w:t>.</w:t>
      </w:r>
    </w:p>
    <w:p w:rsidR="003337A4" w:rsidRPr="008B4A6D" w:rsidRDefault="003337A4" w:rsidP="003337A4">
      <w:pPr>
        <w:jc w:val="both"/>
      </w:pPr>
      <w:r w:rsidRPr="008B4A6D">
        <w:t>U onkologických pacientů s rizikovou medikací je ortodontická terapie kontraindikována. U pacientů léčených pro osteoporózu je ortodontická léčba možná, avšak může být pomalá, neefektivní a rovněž zatížena rizikem rozvoje MRONJ</w:t>
      </w:r>
      <w:sdt>
        <w:sdtPr>
          <w:id w:val="1595824730"/>
          <w:citation/>
        </w:sdtPr>
        <w:sdtContent>
          <w:r w:rsidR="005279FB" w:rsidRPr="008B4A6D">
            <w:fldChar w:fldCharType="begin"/>
          </w:r>
          <w:r w:rsidRPr="008B4A6D">
            <w:instrText xml:space="preserve"> CITATION KCM5LrpbnceHEDsC </w:instrText>
          </w:r>
          <w:r w:rsidR="005279FB" w:rsidRPr="008B4A6D">
            <w:fldChar w:fldCharType="separate"/>
          </w:r>
          <w:r>
            <w:rPr>
              <w:noProof/>
            </w:rPr>
            <w:t xml:space="preserve"> [9]</w:t>
          </w:r>
          <w:r w:rsidR="005279FB" w:rsidRPr="008B4A6D">
            <w:fldChar w:fldCharType="end"/>
          </w:r>
        </w:sdtContent>
      </w:sdt>
      <w:r w:rsidRPr="008B4A6D">
        <w:t>.</w:t>
      </w:r>
    </w:p>
    <w:p w:rsidR="003337A4" w:rsidRDefault="003337A4" w:rsidP="003337A4"/>
    <w:sdt>
      <w:sdtPr>
        <w:id w:val="111145805"/>
        <w:bibliography/>
      </w:sdtPr>
      <w:sdtContent>
        <w:p w:rsidR="003337A4" w:rsidRDefault="005279FB" w:rsidP="003337A4">
          <w:pPr>
            <w:rPr>
              <w:noProof/>
            </w:rPr>
          </w:pPr>
          <w:r w:rsidRPr="005279FB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  <w:fldChar w:fldCharType="begin"/>
          </w:r>
          <w:r w:rsidR="003337A4">
            <w:instrText>BIBLIOGRAPHY</w:instrText>
          </w:r>
          <w:r w:rsidRPr="005279FB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cs-CZ"/>
            </w:rPr>
            <w:fldChar w:fldCharType="separate"/>
          </w:r>
        </w:p>
        <w:tbl>
          <w:tblPr>
            <w:tblW w:w="0" w:type="auto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/>
          </w:tblPr>
          <w:tblGrid>
            <w:gridCol w:w="320"/>
            <w:gridCol w:w="8842"/>
          </w:tblGrid>
          <w:tr w:rsidR="003337A4" w:rsidTr="00FD0F54">
            <w:trPr>
              <w:tblCellSpacing w:w="15" w:type="dxa"/>
            </w:trPr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  <w:sz w:val="24"/>
                    <w:szCs w:val="24"/>
                  </w:rPr>
                </w:pPr>
                <w:r>
                  <w:rPr>
                    <w:rFonts w:eastAsia="Times New Roman"/>
                    <w:noProof/>
                  </w:rPr>
                  <w:t>[1]</w:t>
                </w:r>
              </w:p>
            </w:tc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 xml:space="preserve">RUGGIERO, Salvatore, Thomas DODSON, John FANTASIA, Reginald GOODDAY a Bhoomi MEHROTRA. American Association of Oral and Maxillofacial Surgeons Position Paper on Medication-Related Osteonecrosis of the Jaw—2014 Update. </w:t>
                </w:r>
                <w:r>
                  <w:rPr>
                    <w:rFonts w:eastAsia="Times New Roman"/>
                    <w:i/>
                    <w:iCs/>
                    <w:noProof/>
                  </w:rPr>
                  <w:t>Journal of Oral and Maxillofacial Surgery</w:t>
                </w:r>
                <w:r>
                  <w:rPr>
                    <w:rFonts w:eastAsia="Times New Roman"/>
                    <w:noProof/>
                  </w:rPr>
                  <w:t xml:space="preserve"> [online]. 2014, () [cit. 2014-08-12]. DOI: 10.1016/j.joms.2014.04.031. ISSN 02782391. Dostupné z: http://www.joms.org/article/S0278-2391(14)00463-7/fulltext</w:t>
                </w:r>
              </w:p>
            </w:tc>
          </w:tr>
          <w:tr w:rsidR="003337A4" w:rsidTr="00FD0F54">
            <w:trPr>
              <w:tblCellSpacing w:w="15" w:type="dxa"/>
            </w:trPr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>[2]</w:t>
                </w:r>
              </w:p>
            </w:tc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 xml:space="preserve">MHASKAR, Rahul, Ambuj KUMAR, Branko MILADINOVIC a Benjamin DJULBEGOVIC. Bisphosphonates in multiple myeloma: an updated network meta-analysis. </w:t>
                </w:r>
                <w:r>
                  <w:rPr>
                    <w:rFonts w:eastAsia="Times New Roman"/>
                    <w:i/>
                    <w:iCs/>
                    <w:noProof/>
                  </w:rPr>
                  <w:t>Cochrane Database of Systematic Reviews</w:t>
                </w:r>
                <w:r>
                  <w:rPr>
                    <w:rFonts w:eastAsia="Times New Roman"/>
                    <w:noProof/>
                  </w:rPr>
                  <w:t xml:space="preserve"> [online]. 2017, </w:t>
                </w:r>
                <w:r>
                  <w:rPr>
                    <w:rFonts w:eastAsia="Times New Roman"/>
                    <w:b/>
                    <w:bCs/>
                    <w:noProof/>
                  </w:rPr>
                  <w:t>18</w:t>
                </w:r>
                <w:r>
                  <w:rPr>
                    <w:rFonts w:eastAsia="Times New Roman"/>
                    <w:noProof/>
                  </w:rPr>
                  <w:t>(12) [cit. 2019-03-02]. DOI: 10.1002/14651858.CD003188.pub4. ISSN 14651858. Dostupné z: http://doi.wiley.com/10.1002/14651858.CD003188.pub4</w:t>
                </w:r>
              </w:p>
            </w:tc>
          </w:tr>
          <w:tr w:rsidR="003337A4" w:rsidTr="00FD0F54">
            <w:trPr>
              <w:tblCellSpacing w:w="15" w:type="dxa"/>
            </w:trPr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>[3]</w:t>
                </w:r>
              </w:p>
            </w:tc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 xml:space="preserve">NICOLATOU-GALITIS, Ourania, Morten SCHIøDT, Rui MENDES, Carla RIPAMONTI, Sally HOPE, Lawrence DRUDGE-COATES, Daniela NIEPEL a Tim VAN DEN WYNGAERT. Medication-related osteonecrosis of the jaw: definition and best practice for prevention, diagnosis, and treatment. </w:t>
                </w:r>
                <w:r>
                  <w:rPr>
                    <w:rFonts w:eastAsia="Times New Roman"/>
                    <w:i/>
                    <w:iCs/>
                    <w:noProof/>
                  </w:rPr>
                  <w:t>Oral Surgery, Oral Medicine, Oral Pathology and Oral Radiology</w:t>
                </w:r>
                <w:r>
                  <w:rPr>
                    <w:rFonts w:eastAsia="Times New Roman"/>
                    <w:noProof/>
                  </w:rPr>
                  <w:t xml:space="preserve"> [online]. 2018 [cit. 2019-01-06]. DOI: 10.1016/j.oooo.2018.09.008. ISSN 22124403. Dostupné z: https://linkinghub.elsevier.com/retrieve/pii/S2212440318311933</w:t>
                </w:r>
              </w:p>
            </w:tc>
          </w:tr>
          <w:tr w:rsidR="003337A4" w:rsidTr="00FD0F54">
            <w:trPr>
              <w:tblCellSpacing w:w="15" w:type="dxa"/>
            </w:trPr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>[4]</w:t>
                </w:r>
              </w:p>
            </w:tc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 xml:space="preserve">OTTO, Sven, Christoph PAUTKE, Tim VAN DEN WYNGAERT, Daniela NIEPEL a Morten SCHIøDT. Medication-related osteonecrosis of the jaw: Prevention, diagnosis and management in patients with cancer and bone metastases. </w:t>
                </w:r>
                <w:r>
                  <w:rPr>
                    <w:rFonts w:eastAsia="Times New Roman"/>
                    <w:i/>
                    <w:iCs/>
                    <w:noProof/>
                  </w:rPr>
                  <w:t>Cancer Treatment Reviews</w:t>
                </w:r>
                <w:r>
                  <w:rPr>
                    <w:rFonts w:eastAsia="Times New Roman"/>
                    <w:noProof/>
                  </w:rPr>
                  <w:t xml:space="preserve">. 2018, </w:t>
                </w:r>
                <w:r>
                  <w:rPr>
                    <w:rFonts w:eastAsia="Times New Roman"/>
                    <w:b/>
                    <w:bCs/>
                    <w:noProof/>
                  </w:rPr>
                  <w:t>2018</w:t>
                </w:r>
                <w:r>
                  <w:rPr>
                    <w:rFonts w:eastAsia="Times New Roman"/>
                    <w:noProof/>
                  </w:rPr>
                  <w:t>(69), 177-187. DOI: 10.1016/j.ctrv.2018.06.007. ISSN 03057372. Dostupné také z: https://linkinghub.elsevier.com/retrieve/pii/S0305737218301014</w:t>
                </w:r>
              </w:p>
            </w:tc>
          </w:tr>
          <w:tr w:rsidR="003337A4" w:rsidTr="00FD0F54">
            <w:trPr>
              <w:tblCellSpacing w:w="15" w:type="dxa"/>
            </w:trPr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>[5]</w:t>
                </w:r>
              </w:p>
            </w:tc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 xml:space="preserve">ROSA, Jan, Vladimír PALIČKA a Svatopluk BÝMA. </w:t>
                </w:r>
                <w:r>
                  <w:rPr>
                    <w:rFonts w:eastAsia="Times New Roman"/>
                    <w:i/>
                    <w:iCs/>
                    <w:noProof/>
                  </w:rPr>
                  <w:t>Osteoporóza: doporučené diagnostické a terapeutické postupy pro všeobecné praktické lékaře 2018</w:t>
                </w:r>
                <w:r>
                  <w:rPr>
                    <w:rFonts w:eastAsia="Times New Roman"/>
                    <w:noProof/>
                  </w:rPr>
                  <w:t>. 1. Praha: Společnost všeobecného lékařství ČLS JEP, 2018. Doporučené postupy pro praktické lékaře. ISBN 978-80-86998-98-5.</w:t>
                </w:r>
              </w:p>
            </w:tc>
          </w:tr>
          <w:tr w:rsidR="003337A4" w:rsidTr="00FD0F54">
            <w:trPr>
              <w:tblCellSpacing w:w="15" w:type="dxa"/>
            </w:trPr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>[6]</w:t>
                </w:r>
              </w:p>
            </w:tc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 xml:space="preserve">VYZULA, Rostislav. </w:t>
                </w:r>
                <w:r>
                  <w:rPr>
                    <w:rFonts w:eastAsia="Times New Roman"/>
                    <w:i/>
                    <w:iCs/>
                    <w:noProof/>
                  </w:rPr>
                  <w:t>Modrá kniha České onkologické společnosti</w:t>
                </w:r>
                <w:r>
                  <w:rPr>
                    <w:rFonts w:eastAsia="Times New Roman"/>
                    <w:noProof/>
                  </w:rPr>
                  <w:t>. 24. Brno: Masarykův onkologický ústav, 2018, s. 186-190. ISBN 978-80-86793-44-3.</w:t>
                </w:r>
              </w:p>
            </w:tc>
          </w:tr>
          <w:tr w:rsidR="003337A4" w:rsidTr="00FD0F54">
            <w:trPr>
              <w:tblCellSpacing w:w="15" w:type="dxa"/>
            </w:trPr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>[7]</w:t>
                </w:r>
              </w:p>
            </w:tc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 xml:space="preserve">Osteoporosis Medications and Medication-Related Osteonecrosis of the Jaw. </w:t>
                </w:r>
                <w:r>
                  <w:rPr>
                    <w:rFonts w:eastAsia="Times New Roman"/>
                    <w:i/>
                    <w:iCs/>
                    <w:noProof/>
                  </w:rPr>
                  <w:t>American Dental Association</w:t>
                </w:r>
                <w:r>
                  <w:rPr>
                    <w:rFonts w:eastAsia="Times New Roman"/>
                    <w:noProof/>
                  </w:rPr>
                  <w:t xml:space="preserve"> [online]. Chicago: ADA, 2018 [cit. 2019-01-06]. Dostupné z: https://www.ada.org/en/member-center/oral-health-topics/osteoporosis-medications</w:t>
                </w:r>
              </w:p>
            </w:tc>
          </w:tr>
          <w:tr w:rsidR="003337A4" w:rsidTr="00FD0F54">
            <w:trPr>
              <w:tblCellSpacing w:w="15" w:type="dxa"/>
            </w:trPr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lastRenderedPageBreak/>
                  <w:t>[8]</w:t>
                </w:r>
              </w:p>
            </w:tc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 xml:space="preserve">STAVROPOULOS, Andreas, Kristina BERTL, Peter PIETSCHMANN, Nikolaos PANDIS, Morten SCHIøDT a Björn KLINGE. The effect of antiresorptive drugs on implant therapy: Systematic review and meta-analysis. </w:t>
                </w:r>
                <w:r>
                  <w:rPr>
                    <w:rFonts w:eastAsia="Times New Roman"/>
                    <w:i/>
                    <w:iCs/>
                    <w:noProof/>
                  </w:rPr>
                  <w:t>Clinical Oral Implants Research</w:t>
                </w:r>
                <w:r>
                  <w:rPr>
                    <w:rFonts w:eastAsia="Times New Roman"/>
                    <w:noProof/>
                  </w:rPr>
                  <w:t xml:space="preserve">. 2018, </w:t>
                </w:r>
                <w:r>
                  <w:rPr>
                    <w:rFonts w:eastAsia="Times New Roman"/>
                    <w:b/>
                    <w:bCs/>
                    <w:noProof/>
                  </w:rPr>
                  <w:t>29</w:t>
                </w:r>
                <w:r>
                  <w:rPr>
                    <w:rFonts w:eastAsia="Times New Roman"/>
                    <w:noProof/>
                  </w:rPr>
                  <w:t>(19), 54-92. DOI: 10.1111/clr.13282. ISSN 09057161. Dostupné také z: http://doi.wiley.com/10.1111/clr.13282</w:t>
                </w:r>
              </w:p>
            </w:tc>
          </w:tr>
          <w:tr w:rsidR="003337A4" w:rsidTr="00FD0F54">
            <w:trPr>
              <w:tblCellSpacing w:w="15" w:type="dxa"/>
            </w:trPr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>[9]</w:t>
                </w:r>
              </w:p>
            </w:tc>
            <w:tc>
              <w:tcPr>
                <w:tcW w:w="0" w:type="auto"/>
                <w:hideMark/>
              </w:tcPr>
              <w:p w:rsidR="003337A4" w:rsidRDefault="003337A4" w:rsidP="00FD0F54">
                <w:pPr>
                  <w:rPr>
                    <w:rFonts w:eastAsia="Times New Roman"/>
                    <w:noProof/>
                  </w:rPr>
                </w:pPr>
                <w:r>
                  <w:rPr>
                    <w:rFonts w:eastAsia="Times New Roman"/>
                    <w:noProof/>
                  </w:rPr>
                  <w:t xml:space="preserve">KRISHNAN, Sindhuja, Saravana PANDIAN a Aruvind KUJAN. Effect of Bisphosphonates on Orthodontic Tooth Movement—An Update. </w:t>
                </w:r>
                <w:r>
                  <w:rPr>
                    <w:rFonts w:eastAsia="Times New Roman"/>
                    <w:i/>
                    <w:iCs/>
                    <w:noProof/>
                  </w:rPr>
                  <w:t>JOURNAL OF CLINICAL AND DIAGNOSTIC RESEARCH</w:t>
                </w:r>
                <w:r>
                  <w:rPr>
                    <w:rFonts w:eastAsia="Times New Roman"/>
                    <w:noProof/>
                  </w:rPr>
                  <w:t xml:space="preserve">. 2015, </w:t>
                </w:r>
                <w:r>
                  <w:rPr>
                    <w:rFonts w:eastAsia="Times New Roman"/>
                    <w:b/>
                    <w:bCs/>
                    <w:noProof/>
                  </w:rPr>
                  <w:t>9</w:t>
                </w:r>
                <w:r>
                  <w:rPr>
                    <w:rFonts w:eastAsia="Times New Roman"/>
                    <w:noProof/>
                  </w:rPr>
                  <w:t>(4), 01-05. DOI: 10.7860/JCDR/2015/11162.5769. ISSN 2249782X.</w:t>
                </w:r>
              </w:p>
            </w:tc>
          </w:tr>
        </w:tbl>
        <w:p w:rsidR="003337A4" w:rsidRDefault="003337A4" w:rsidP="003337A4">
          <w:pPr>
            <w:rPr>
              <w:rFonts w:eastAsia="Times New Roman"/>
              <w:noProof/>
            </w:rPr>
          </w:pPr>
        </w:p>
        <w:p w:rsidR="003337A4" w:rsidRDefault="005279FB" w:rsidP="003337A4">
          <w:pPr>
            <w:spacing w:after="0" w:line="24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sectPr w:rsidR="003337A4" w:rsidSect="0052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01" w:rsidRDefault="007A1401" w:rsidP="006E3808">
      <w:pPr>
        <w:spacing w:after="0" w:line="240" w:lineRule="auto"/>
      </w:pPr>
      <w:r>
        <w:separator/>
      </w:r>
    </w:p>
  </w:endnote>
  <w:endnote w:type="continuationSeparator" w:id="0">
    <w:p w:rsidR="007A1401" w:rsidRDefault="007A1401" w:rsidP="006E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01" w:rsidRDefault="007A1401" w:rsidP="006E3808">
      <w:pPr>
        <w:spacing w:after="0" w:line="240" w:lineRule="auto"/>
      </w:pPr>
      <w:r>
        <w:separator/>
      </w:r>
    </w:p>
  </w:footnote>
  <w:footnote w:type="continuationSeparator" w:id="0">
    <w:p w:rsidR="007A1401" w:rsidRDefault="007A1401" w:rsidP="006E3808">
      <w:pPr>
        <w:spacing w:after="0" w:line="240" w:lineRule="auto"/>
      </w:pPr>
      <w:r>
        <w:continuationSeparator/>
      </w:r>
    </w:p>
  </w:footnote>
  <w:footnote w:id="1">
    <w:p w:rsidR="003337A4" w:rsidRDefault="003337A4" w:rsidP="003337A4">
      <w:pPr>
        <w:pStyle w:val="Textpoznpodarou"/>
      </w:pPr>
      <w:r>
        <w:rPr>
          <w:rStyle w:val="Znakapoznpodarou"/>
        </w:rPr>
        <w:footnoteRef/>
      </w:r>
      <w:r>
        <w:t xml:space="preserve"> I při vědomí, že riziko rozvoje MRONJ narůstá postupně několik měsíců po zahájená antiresorpční léčby, je doporučován maximálně obezřetný přístup k rizikovým zákrokům i u pacientů na počátku terapie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A4B"/>
    <w:multiLevelType w:val="hybridMultilevel"/>
    <w:tmpl w:val="C38A22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F5E4A"/>
    <w:multiLevelType w:val="hybridMultilevel"/>
    <w:tmpl w:val="FDEE1D18"/>
    <w:lvl w:ilvl="0" w:tplc="29E49C4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B45754"/>
    <w:multiLevelType w:val="hybridMultilevel"/>
    <w:tmpl w:val="B1D83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F7A"/>
    <w:multiLevelType w:val="hybridMultilevel"/>
    <w:tmpl w:val="76980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86864"/>
    <w:multiLevelType w:val="hybridMultilevel"/>
    <w:tmpl w:val="3BF821CE"/>
    <w:lvl w:ilvl="0" w:tplc="1E5E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C51C9"/>
    <w:multiLevelType w:val="hybridMultilevel"/>
    <w:tmpl w:val="AC501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B4F59"/>
    <w:multiLevelType w:val="hybridMultilevel"/>
    <w:tmpl w:val="B7D4C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B0764"/>
    <w:multiLevelType w:val="hybridMultilevel"/>
    <w:tmpl w:val="4FF85D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9789B"/>
    <w:multiLevelType w:val="hybridMultilevel"/>
    <w:tmpl w:val="3E1AD088"/>
    <w:lvl w:ilvl="0" w:tplc="29E49C4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2633C7"/>
    <w:multiLevelType w:val="hybridMultilevel"/>
    <w:tmpl w:val="11F0A9E8"/>
    <w:lvl w:ilvl="0" w:tplc="29E49C4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F925AB"/>
    <w:multiLevelType w:val="hybridMultilevel"/>
    <w:tmpl w:val="8D686A22"/>
    <w:lvl w:ilvl="0" w:tplc="548E4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2C632D"/>
    <w:multiLevelType w:val="hybridMultilevel"/>
    <w:tmpl w:val="B1D83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07997"/>
    <w:multiLevelType w:val="hybridMultilevel"/>
    <w:tmpl w:val="B1D83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791"/>
    <w:rsid w:val="000472E0"/>
    <w:rsid w:val="00126B85"/>
    <w:rsid w:val="001677A0"/>
    <w:rsid w:val="003265B5"/>
    <w:rsid w:val="003337A4"/>
    <w:rsid w:val="005279FB"/>
    <w:rsid w:val="005C43FE"/>
    <w:rsid w:val="005C7448"/>
    <w:rsid w:val="005F2E37"/>
    <w:rsid w:val="0060397E"/>
    <w:rsid w:val="00635993"/>
    <w:rsid w:val="006E3808"/>
    <w:rsid w:val="006F023F"/>
    <w:rsid w:val="007933E1"/>
    <w:rsid w:val="007A1401"/>
    <w:rsid w:val="007B44D3"/>
    <w:rsid w:val="007D42F2"/>
    <w:rsid w:val="008C45E8"/>
    <w:rsid w:val="008E463B"/>
    <w:rsid w:val="00945E25"/>
    <w:rsid w:val="009656D1"/>
    <w:rsid w:val="00A43A27"/>
    <w:rsid w:val="00A74CD3"/>
    <w:rsid w:val="00B154CE"/>
    <w:rsid w:val="00B66446"/>
    <w:rsid w:val="00B66F0B"/>
    <w:rsid w:val="00BB4123"/>
    <w:rsid w:val="00D01FA4"/>
    <w:rsid w:val="00DE7250"/>
    <w:rsid w:val="00E00072"/>
    <w:rsid w:val="00E260CA"/>
    <w:rsid w:val="00E35791"/>
    <w:rsid w:val="00F2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808"/>
  </w:style>
  <w:style w:type="paragraph" w:styleId="Zpat">
    <w:name w:val="footer"/>
    <w:basedOn w:val="Normln"/>
    <w:link w:val="ZpatChar"/>
    <w:uiPriority w:val="99"/>
    <w:unhideWhenUsed/>
    <w:rsid w:val="006E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808"/>
  </w:style>
  <w:style w:type="paragraph" w:styleId="Odstavecseseznamem">
    <w:name w:val="List Paragraph"/>
    <w:basedOn w:val="Normln"/>
    <w:uiPriority w:val="34"/>
    <w:qFormat/>
    <w:rsid w:val="000472E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72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2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2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2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2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04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2E0"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unhideWhenUsed/>
    <w:rsid w:val="003337A4"/>
    <w:rPr>
      <w:rFonts w:asciiTheme="minorHAnsi" w:hAnsi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7A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7A4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37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1CitacePRO.xsl" StyleName="Styl 1 Citace PRO" Version="0">
  <b:Source>
    <b:Tag>iaGV0x8AVnk7hdnL</b:Tag>
    <b:SourceType>JournalArticle</b:SourceType>
    <b:Author>
      <b:Author>
        <b:NameList xmlns:msxsl="urn:schemas-microsoft-com:xslt" xmlns:b="http://schemas.openxmlformats.org/officeDocument/2006/bibliography">
          <b:Person>
            <b:Last>Ruggiero</b:Last>
            <b:First>Salvatore</b:First>
            <b:Middle>L.</b:Middle>
          </b:Person>
          <b:Person>
            <b:Last>Dodson</b:Last>
            <b:First>Thomas</b:First>
            <b:Middle>B.</b:Middle>
          </b:Person>
          <b:Person>
            <b:Last>Fantasia</b:Last>
            <b:First>John</b:First>
            <b:Middle/>
          </b:Person>
          <b:Person>
            <b:Last>Goodday</b:Last>
            <b:First>Reginald</b:First>
            <b:Middle/>
          </b:Person>
          <b:Person>
            <b:Last>Mehrotra</b:Last>
            <b:First>Bhoomi</b:First>
            <b:Middle/>
          </b:Person>
        </b:NameList>
      </b:Author>
    </b:Author>
    <b:JournalName>Journal of Oral and Maxillofacial Surgery</b:JournalName>
    <b:ISSN>02782391</b:ISSN>
    <b:Issue>article in press</b:Issue>
    <b:YearAccessed>2014-08-12</b:YearAccessed>
    <b:Year>2014</b:Year>
    <b:Medium>online</b:Medium>
    <b:Title>American Association of Oral and Maxillofacial Surgeons Position Paper on Medication-Related Osteonecrosis of the Jaw—2014 Update</b:Title>
    <b:ShortTitle>American Association of Oral and Maxillofacial Surgeons Position Paper on Medication-Related Osteonecrosis of the Jaw—2014 Update</b:ShortTitle>
    <b:URL>http://www.joms.org/article/S0278-2391(14)00463-7/fulltext</b:URL>
    <b:DOI>10.1016/j.joms.2014.04.031</b:DOI>
    <b:RefOrder>1</b:RefOrder>
  </b:Source>
  <b:Source>
    <b:Tag>hZVwzgyak0ZcpZ7z</b:Tag>
    <b:SourceType>JournalArticle</b:SourceType>
    <b:Author>
      <b:Author>
        <b:NameList xmlns:msxsl="urn:schemas-microsoft-com:xslt" xmlns:b="http://schemas.openxmlformats.org/officeDocument/2006/bibliography">
          <b:Person>
            <b:Last>Mhaskar</b:Last>
            <b:First>Rahul</b:First>
            <b:Middle/>
          </b:Person>
          <b:Person>
            <b:Last>Kumar</b:Last>
            <b:First>Ambuj</b:First>
            <b:Middle/>
          </b:Person>
          <b:Person>
            <b:Last>Miladinovic</b:Last>
            <b:First>Branko</b:First>
            <b:Middle/>
          </b:Person>
          <b:Person>
            <b:Last>Djulbegovic</b:Last>
            <b:First>Benjamin</b:First>
            <b:Middle/>
          </b:Person>
        </b:NameList>
      </b:Author>
    </b:Author>
    <b:JournalName>Cochrane Database of Systematic Reviews</b:JournalName>
    <b:ISSN>14651858</b:ISSN>
    <b:Volume>18</b:Volume>
    <b:Issue>12</b:Issue>
    <b:YearAccessed>2019-03-02</b:YearAccessed>
    <b:Year>2017</b:Year>
    <b:Medium>online</b:Medium>
    <b:Title>Bisphosphonates in multiple myeloma: an updated network meta-analysis</b:Title>
    <b:ShortTitle>Bisphosphonates in multiple myeloma</b:ShortTitle>
    <b:URL>http://doi.wiley.com/10.1002/14651858.CD003188.pub4</b:URL>
    <b:DOI>10.1002/14651858.CD003188.pub4</b:DOI>
    <b:RefOrder>2</b:RefOrder>
  </b:Source>
  <b:Source>
    <b:Tag>4yyjjyeKVoEUrMKT</b:Tag>
    <b:SourceType>JournalArticle</b:SourceType>
    <b:Author>
      <b:Author>
        <b:NameList xmlns:msxsl="urn:schemas-microsoft-com:xslt" xmlns:b="http://schemas.openxmlformats.org/officeDocument/2006/bibliography">
          <b:Person>
            <b:Last>Nicolatou-Galitis</b:Last>
            <b:First>Ourania</b:First>
            <b:Middle/>
          </b:Person>
          <b:Person>
            <b:Last>Schiødt</b:Last>
            <b:First>Morten</b:First>
            <b:Middle/>
          </b:Person>
          <b:Person>
            <b:Last>Mendes</b:Last>
            <b:First>Rui</b:First>
            <b:Middle>Amaral</b:Middle>
          </b:Person>
          <b:Person>
            <b:Last>Ripamonti</b:Last>
            <b:First>Carla</b:First>
            <b:Middle/>
          </b:Person>
          <b:Person>
            <b:Last>Hope</b:Last>
            <b:First>Sally</b:First>
            <b:Middle/>
          </b:Person>
          <b:Person>
            <b:Last>Drudge-Coates</b:Last>
            <b:First>Lawrence</b:First>
            <b:Middle/>
          </b:Person>
          <b:Person>
            <b:Last>Niepel</b:Last>
            <b:First>Daniela</b:First>
            <b:Middle/>
          </b:Person>
          <b:Person>
            <b:Last>Van den Wyngaert</b:Last>
            <b:First>Tim</b:First>
            <b:Middle/>
          </b:Person>
        </b:NameList>
      </b:Author>
    </b:Author>
    <b:JournalName>Oral Surgery, Oral Medicine, Oral Pathology and Oral Radiology</b:JournalName>
    <b:ISSN>22124403</b:ISSN>
    <b:YearAccessed>2019-01-06</b:YearAccessed>
    <b:Year>2018</b:Year>
    <b:Medium>online</b:Medium>
    <b:Title>Medication-related osteonecrosis of the jaw: definition and best practice for prevention, diagnosis, and treatment</b:Title>
    <b:ShortTitle>Medication-related osteonecrosis of the jaw</b:ShortTitle>
    <b:URL>https://linkinghub.elsevier.com/retrieve/pii/S2212440318311933</b:URL>
    <b:DOI>10.1016/j.oooo.2018.09.008</b:DOI>
    <b:RefOrder>3</b:RefOrder>
  </b:Source>
  <b:Source>
    <b:Tag>WEgoalEOol3mYE7i</b:Tag>
    <b:SourceType>JournalArticle</b:SourceType>
    <b:Author>
      <b:Author>
        <b:NameList>
          <b:Person>
            <b:Last>Otto</b:Last>
            <b:First>Sven</b:First>
          </b:Person>
          <b:Person>
            <b:Last>Pautke</b:Last>
            <b:First>Christoph</b:First>
          </b:Person>
          <b:Person>
            <b:Last>Van den Wyngaert</b:Last>
            <b:First>Tim</b:First>
          </b:Person>
          <b:Person>
            <b:Last>Niepel</b:Last>
            <b:First>Daniela</b:First>
          </b:Person>
          <b:Person>
            <b:Last>Schiødt</b:Last>
            <b:First>Morten</b:First>
          </b:Person>
        </b:NameList>
      </b:Author>
    </b:Author>
    <b:JournalName>Cancer Treatment Reviews</b:JournalName>
    <b:ISSN>03057372</b:ISSN>
    <b:Volume>2018</b:Volume>
    <b:Issue>69</b:Issue>
    <b:Year>2018</b:Year>
    <b:Pages>177-187</b:Pages>
    <b:Title>Medication-related osteonecrosis of the jaw: Prevention, diagnosis and management in patients with cancer and bone metastases</b:Title>
    <b:ShortTitle>Medication-related osteonecrosis of the jaw</b:ShortTitle>
    <b:URL>https://linkinghub.elsevier.com/retrieve/pii/S0305737218301014</b:URL>
    <b:DOI>10.1016/j.ctrv.2018.06.007</b:DOI>
    <b:RefOrder>4</b:RefOrder>
  </b:Source>
  <b:Source>
    <b:Tag>0Qi5qtXO03suAaUr</b:Tag>
    <b:SourceType>Book</b:SourceType>
    <b:Author>
      <b:Author>
        <b:NameList xmlns:msxsl="urn:schemas-microsoft-com:xslt" xmlns:b="http://schemas.openxmlformats.org/officeDocument/2006/bibliography">
          <b:Person>
            <b:Last>Rosa</b:Last>
            <b:First>Jan</b:First>
            <b:Middle/>
          </b:Person>
          <b:Person>
            <b:Last>Palička</b:Last>
            <b:First>Vladimír</b:First>
            <b:Middle/>
          </b:Person>
          <b:Person>
            <b:Last>Býma</b:Last>
            <b:First>Svatopluk</b:First>
            <b:Middle/>
          </b:Person>
        </b:NameList>
      </b:Author>
    </b:Author>
    <b:ISBN>978-80-86998-98-5</b:ISBN>
    <b:Year>2018</b:Year>
    <b:Edition>1</b:Edition>
    <b:City>Praha</b:City>
    <b:Publisher>Společnost všeobecného lékařství ČLS JEP</b:Publisher>
    <b:CollectionTitle>Doporučené postupy pro praktické lékaře</b:CollectionTitle>
    <b:Title>Osteoporóza: doporučené diagnostické a terapeutické postupy pro všeobecné praktické lékaře 2018</b:Title>
    <b:ShortTitle>Osteoporóza</b:ShortTitle>
    <b:RefOrder>5</b:RefOrder>
  </b:Source>
  <b:Source>
    <b:Tag>Eijyh0jBJWy3rR6o</b:Tag>
    <b:SourceType>BookSection</b:SourceType>
    <b:Author>
      <b:BookAuthor>
        <b:NameList xmlns:msxsl="urn:schemas-microsoft-com:xslt" xmlns:b="http://schemas.openxmlformats.org/officeDocument/2006/bibliography">
          <b:Person>
            <b:Last>Vyzula</b:Last>
            <b:First>Rostislav</b:First>
            <b:Middle/>
          </b:Person>
        </b:NameList>
      </b:BookAuthor>
    </b:Author>
    <b:BookTitle>Modrá kniha České onkologické společnosti</b:BookTitle>
    <b:ISBN>978-80-86793-44-3</b:ISBN>
    <b:Edition>24</b:Edition>
    <b:Year>2018</b:Year>
    <b:City>Brno</b:City>
    <b:Publisher>Masarykův onkologický ústav</b:Publisher>
    <b:Pages>186-190</b:Pages>
    <b:RefOrder>6</b:RefOrder>
  </b:Source>
  <b:Source>
    <b:Tag>w2ldC50KHRY0e2F8</b:Tag>
    <b:SourceType>DocumentFromInternetSite</b:SourceType>
    <b:InternetSiteTitle>American Dental Association</b:InternetSiteTitle>
    <b:YearAccessed>2019-01-06</b:YearAccessed>
    <b:Year>2018</b:Year>
    <b:City>Chicago</b:City>
    <b:Publisher>ADA</b:Publisher>
    <b:Medium>online</b:Medium>
    <b:Title>Osteoporosis Medications and Medication-Related Osteonecrosis of the Jaw</b:Title>
    <b:ShortTitle>Osteoporosis Medications and Medication-Related Osteonecrosis of the Jaw</b:ShortTitle>
    <b:URL>https://www.ada.org/en/member-center/oral-health-topics/osteoporosis-medications</b:URL>
    <b:RefOrder>7</b:RefOrder>
  </b:Source>
  <b:Source>
    <b:Tag>IDznMhIe0Lwt8u5C</b:Tag>
    <b:SourceType>JournalArticle</b:SourceType>
    <b:Author>
      <b:Author>
        <b:NameList xmlns:msxsl="urn:schemas-microsoft-com:xslt" xmlns:b="http://schemas.openxmlformats.org/officeDocument/2006/bibliography">
          <b:Person>
            <b:Last>Stavropoulos</b:Last>
            <b:First>Andreas</b:First>
            <b:Middle/>
          </b:Person>
          <b:Person>
            <b:Last>Bertl</b:Last>
            <b:First>Kristina</b:First>
            <b:Middle/>
          </b:Person>
          <b:Person>
            <b:Last>Pietschmann</b:Last>
            <b:First>Peter</b:First>
            <b:Middle/>
          </b:Person>
          <b:Person>
            <b:Last>Pandis</b:Last>
            <b:First>Nikolaos</b:First>
            <b:Middle/>
          </b:Person>
          <b:Person>
            <b:Last>Schiødt</b:Last>
            <b:First>Morten</b:First>
            <b:Middle/>
          </b:Person>
          <b:Person>
            <b:Last>Klinge</b:Last>
            <b:First>Björn</b:First>
            <b:Middle/>
          </b:Person>
        </b:NameList>
      </b:Author>
    </b:Author>
    <b:JournalName>Clinical Oral Implants Research</b:JournalName>
    <b:ISSN>09057161</b:ISSN>
    <b:Volume>vol. 29</b:Volume>
    <b:Issue>supp. 19</b:Issue>
    <b:Year>2018</b:Year>
    <b:Pages>54-92</b:Pages>
    <b:Title>The effect of antiresorptive drugs on implant therapy: Systematic review and meta-analysis</b:Title>
    <b:ShortTitle>The effect of antiresorptive drugs on implant therapy</b:ShortTitle>
    <b:URL>http://doi.wiley.com/10.1111/clr.13282</b:URL>
    <b:DOI>10.1111/clr.13282</b:DOI>
    <b:RefOrder>8</b:RefOrder>
  </b:Source>
  <b:Source>
    <b:Tag>KCM5LrpbnceHEDsC</b:Tag>
    <b:SourceType>JournalArticle</b:SourceType>
    <b:Author>
      <b:Author>
        <b:NameList xmlns:msxsl="urn:schemas-microsoft-com:xslt" xmlns:b="http://schemas.openxmlformats.org/officeDocument/2006/bibliography">
          <b:Person>
            <b:Last>Krishnan</b:Last>
            <b:First>Sindhuja</b:First>
            <b:Middle/>
          </b:Person>
          <b:Person>
            <b:Last>Pandian</b:Last>
            <b:First>Saravana</b:First>
            <b:Middle/>
          </b:Person>
          <b:Person>
            <b:Last>Kujan</b:Last>
            <b:First>Aruvind</b:First>
            <b:Middle/>
          </b:Person>
        </b:NameList>
      </b:Author>
    </b:Author>
    <b:JournalName>JOURNAL OF CLINICAL AND DIAGNOSTIC RESEARCH</b:JournalName>
    <b:ISSN>2249782X</b:ISSN>
    <b:Volume>9</b:Volume>
    <b:Issue>4</b:Issue>
    <b:Year>2015</b:Year>
    <b:Pages>ZE01-ZE05</b:Pages>
    <b:Title>Effect of Bisphosphonates on Orthodontic Tooth Movement—An Update</b:Title>
    <b:ShortTitle>Effect of Bisphosphonates on Orthodontic Tooth Movement—An Update</b:ShortTitle>
    <b:DOI>10.7860/JCDR/2015/11162.5769</b:DOI>
    <b:RefOrder>9</b:RefOrder>
  </b:Source>
</b:Sources>
</file>

<file path=customXml/itemProps1.xml><?xml version="1.0" encoding="utf-8"?>
<ds:datastoreItem xmlns:ds="http://schemas.openxmlformats.org/officeDocument/2006/customXml" ds:itemID="{CF2DC0B0-FBD7-48A6-B7C0-2D25AEA041C7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1431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Slavík</dc:creator>
  <cp:lastModifiedBy>Jitka Povolná</cp:lastModifiedBy>
  <cp:revision>2</cp:revision>
  <dcterms:created xsi:type="dcterms:W3CDTF">2019-09-30T13:08:00Z</dcterms:created>
  <dcterms:modified xsi:type="dcterms:W3CDTF">2019-09-30T13:08:00Z</dcterms:modified>
</cp:coreProperties>
</file>