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5C" w:rsidRDefault="001C175C" w:rsidP="007F24DF">
      <w:pPr>
        <w:tabs>
          <w:tab w:val="left" w:pos="1276"/>
          <w:tab w:val="left" w:pos="7797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B7940" w:rsidRDefault="001D7959" w:rsidP="007B7940">
      <w:pPr>
        <w:tabs>
          <w:tab w:val="left" w:pos="1276"/>
          <w:tab w:val="left" w:pos="779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Závazné stanovisko České stomatologické komory</w:t>
      </w:r>
      <w:r w:rsidR="00AE0C9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B7940" w:rsidRDefault="007B7940" w:rsidP="007B7940">
      <w:pPr>
        <w:tabs>
          <w:tab w:val="left" w:pos="1276"/>
          <w:tab w:val="left" w:pos="779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ZS 1/2019 ze dne </w:t>
      </w:r>
      <w:r w:rsidR="00832D1D">
        <w:rPr>
          <w:rFonts w:ascii="Arial" w:hAnsi="Arial" w:cs="Arial"/>
          <w:b/>
          <w:bCs/>
          <w:sz w:val="22"/>
          <w:szCs w:val="22"/>
        </w:rPr>
        <w:t>16</w:t>
      </w:r>
      <w:r>
        <w:rPr>
          <w:rFonts w:ascii="Arial" w:hAnsi="Arial" w:cs="Arial"/>
          <w:b/>
          <w:bCs/>
          <w:sz w:val="22"/>
          <w:szCs w:val="22"/>
        </w:rPr>
        <w:t>.11.2019</w:t>
      </w:r>
    </w:p>
    <w:p w:rsidR="001C175C" w:rsidRPr="006129C7" w:rsidRDefault="001C175C" w:rsidP="007B7940">
      <w:pPr>
        <w:tabs>
          <w:tab w:val="left" w:pos="1276"/>
          <w:tab w:val="left" w:pos="779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129C7">
        <w:rPr>
          <w:rFonts w:ascii="Arial" w:hAnsi="Arial" w:cs="Arial"/>
          <w:b/>
          <w:bCs/>
          <w:sz w:val="22"/>
          <w:szCs w:val="22"/>
        </w:rPr>
        <w:t>k </w:t>
      </w:r>
      <w:bookmarkStart w:id="1" w:name="_Hlk12448297"/>
      <w:r w:rsidRPr="006129C7">
        <w:rPr>
          <w:rFonts w:ascii="Arial" w:hAnsi="Arial" w:cs="Arial"/>
          <w:b/>
          <w:bCs/>
          <w:sz w:val="22"/>
          <w:szCs w:val="22"/>
        </w:rPr>
        <w:t>odbornému dohledu nad výkonem povolání dentální hygienistky a k dalším postupům zubního lékaře v součinnosti s dentální hygienistkou</w:t>
      </w:r>
      <w:bookmarkEnd w:id="1"/>
    </w:p>
    <w:p w:rsidR="001C175C" w:rsidRDefault="001C175C" w:rsidP="007F24DF">
      <w:pPr>
        <w:tabs>
          <w:tab w:val="left" w:pos="1276"/>
          <w:tab w:val="left" w:pos="7797"/>
        </w:tabs>
        <w:rPr>
          <w:rFonts w:ascii="Arial" w:hAnsi="Arial" w:cs="Arial"/>
          <w:sz w:val="22"/>
          <w:szCs w:val="22"/>
        </w:rPr>
      </w:pPr>
    </w:p>
    <w:p w:rsidR="007B7940" w:rsidRDefault="007B7940" w:rsidP="007F24DF">
      <w:pPr>
        <w:tabs>
          <w:tab w:val="left" w:pos="1276"/>
          <w:tab w:val="left" w:pos="7797"/>
        </w:tabs>
        <w:rPr>
          <w:rFonts w:ascii="Arial" w:hAnsi="Arial" w:cs="Arial"/>
          <w:sz w:val="22"/>
          <w:szCs w:val="22"/>
        </w:rPr>
      </w:pPr>
    </w:p>
    <w:p w:rsidR="000A43E8" w:rsidRDefault="007B7940" w:rsidP="007B7940">
      <w:p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7B7940">
        <w:rPr>
          <w:rFonts w:ascii="Arial" w:hAnsi="Arial" w:cs="Arial"/>
          <w:sz w:val="22"/>
          <w:szCs w:val="22"/>
        </w:rPr>
        <w:t xml:space="preserve">Sněm České stomatologické komory </w:t>
      </w:r>
      <w:r w:rsidR="000A43E8">
        <w:rPr>
          <w:rFonts w:ascii="Arial" w:hAnsi="Arial" w:cs="Arial"/>
          <w:sz w:val="22"/>
          <w:szCs w:val="22"/>
        </w:rPr>
        <w:t>vzhledem k těmto důvodům</w:t>
      </w:r>
      <w:r w:rsidR="007C1368">
        <w:rPr>
          <w:rFonts w:ascii="Arial" w:hAnsi="Arial" w:cs="Arial"/>
          <w:sz w:val="22"/>
          <w:szCs w:val="22"/>
        </w:rPr>
        <w:t>:</w:t>
      </w:r>
    </w:p>
    <w:p w:rsidR="000A43E8" w:rsidRDefault="000A43E8" w:rsidP="007B7940">
      <w:p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5810BD" w:rsidRDefault="005810BD" w:rsidP="00CA5A7B">
      <w:pPr>
        <w:pStyle w:val="Odstavecseseznamem"/>
        <w:numPr>
          <w:ilvl w:val="0"/>
          <w:numId w:val="9"/>
        </w:numPr>
        <w:tabs>
          <w:tab w:val="left" w:pos="1276"/>
          <w:tab w:val="left" w:pos="779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Dentální hygienistka je podle obecně závazných předpisů oprávněna bez odborného dohledu a bez indikace </w:t>
      </w:r>
      <w:r w:rsidR="00321D95">
        <w:rPr>
          <w:rFonts w:ascii="Arial" w:hAnsi="Arial" w:cs="Arial"/>
          <w:sz w:val="22"/>
          <w:szCs w:val="22"/>
        </w:rPr>
        <w:t xml:space="preserve">zubního lékaře </w:t>
      </w:r>
      <w:r>
        <w:rPr>
          <w:rFonts w:ascii="Arial" w:hAnsi="Arial" w:cs="Arial"/>
          <w:sz w:val="22"/>
          <w:szCs w:val="22"/>
        </w:rPr>
        <w:t xml:space="preserve">(i) </w:t>
      </w:r>
      <w:r w:rsidRPr="005810BD">
        <w:rPr>
          <w:rFonts w:ascii="Arial" w:hAnsi="Arial" w:cs="Arial"/>
          <w:sz w:val="22"/>
          <w:szCs w:val="22"/>
        </w:rPr>
        <w:t xml:space="preserve">vychovávat a instruovat pacienty k pravidelné a systematické preventivní péči o ústní hygienu,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5810BD">
        <w:rPr>
          <w:rFonts w:ascii="Arial" w:hAnsi="Arial" w:cs="Arial"/>
          <w:sz w:val="22"/>
          <w:szCs w:val="22"/>
        </w:rPr>
        <w:t xml:space="preserve">stanovit úroveň individuální hygieny,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iii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5810BD">
        <w:rPr>
          <w:rFonts w:ascii="Arial" w:hAnsi="Arial" w:cs="Arial"/>
          <w:sz w:val="22"/>
          <w:szCs w:val="22"/>
        </w:rPr>
        <w:t xml:space="preserve">provádět nácvik postupů a technik ústní hygieny a kontrolovat jejich účinnost, provádět kolektivní zdravotně-výchovnou činnost zaměřenou na prevenci zubního kazu, </w:t>
      </w:r>
      <w:proofErr w:type="spellStart"/>
      <w:r w:rsidRPr="005810BD">
        <w:rPr>
          <w:rFonts w:ascii="Arial" w:hAnsi="Arial" w:cs="Arial"/>
          <w:sz w:val="22"/>
          <w:szCs w:val="22"/>
        </w:rPr>
        <w:t>parodontopatií</w:t>
      </w:r>
      <w:proofErr w:type="spellEnd"/>
      <w:r w:rsidRPr="005810BD">
        <w:rPr>
          <w:rFonts w:ascii="Arial" w:hAnsi="Arial" w:cs="Arial"/>
          <w:sz w:val="22"/>
          <w:szCs w:val="22"/>
        </w:rPr>
        <w:t xml:space="preserve">, ortodontických anomálií a na racionální výživu, </w:t>
      </w:r>
      <w:r>
        <w:rPr>
          <w:rFonts w:ascii="Arial" w:hAnsi="Arial" w:cs="Arial"/>
          <w:sz w:val="22"/>
          <w:szCs w:val="22"/>
        </w:rPr>
        <w:t>a (</w:t>
      </w:r>
      <w:proofErr w:type="spellStart"/>
      <w:r>
        <w:rPr>
          <w:rFonts w:ascii="Arial" w:hAnsi="Arial" w:cs="Arial"/>
          <w:sz w:val="22"/>
          <w:szCs w:val="22"/>
        </w:rPr>
        <w:t>iv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5810BD">
        <w:rPr>
          <w:rFonts w:ascii="Arial" w:hAnsi="Arial" w:cs="Arial"/>
          <w:sz w:val="22"/>
          <w:szCs w:val="22"/>
        </w:rPr>
        <w:t>provádět ve spolupráci se zubním lékařem výzkum v</w:t>
      </w:r>
      <w:r>
        <w:rPr>
          <w:rFonts w:ascii="Arial" w:hAnsi="Arial" w:cs="Arial"/>
          <w:sz w:val="22"/>
          <w:szCs w:val="22"/>
        </w:rPr>
        <w:t> </w:t>
      </w:r>
      <w:r w:rsidRPr="005810BD">
        <w:rPr>
          <w:rFonts w:ascii="Arial" w:hAnsi="Arial" w:cs="Arial"/>
          <w:sz w:val="22"/>
          <w:szCs w:val="22"/>
        </w:rPr>
        <w:t>oblasti</w:t>
      </w:r>
      <w:r>
        <w:rPr>
          <w:rFonts w:ascii="Arial" w:hAnsi="Arial" w:cs="Arial"/>
          <w:sz w:val="22"/>
          <w:szCs w:val="22"/>
        </w:rPr>
        <w:t xml:space="preserve"> </w:t>
      </w:r>
      <w:r w:rsidRPr="005810BD">
        <w:rPr>
          <w:rFonts w:ascii="Arial" w:hAnsi="Arial" w:cs="Arial"/>
          <w:sz w:val="22"/>
          <w:szCs w:val="22"/>
        </w:rPr>
        <w:t>zubního lékařství, zvláště pak v oblasti dentální hygieny.</w:t>
      </w:r>
      <w:r>
        <w:rPr>
          <w:rFonts w:ascii="Arial" w:hAnsi="Arial" w:cs="Arial"/>
          <w:sz w:val="22"/>
          <w:szCs w:val="22"/>
        </w:rPr>
        <w:t xml:space="preserve"> Ostatní činnosti může dentální hygienistka vykonávat jen </w:t>
      </w:r>
      <w:r w:rsidR="00A225F0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základě indikace a některé z nich jen pod odborným dohledem či přímým vedením zubního lékaře.</w:t>
      </w:r>
    </w:p>
    <w:p w:rsidR="005810BD" w:rsidRDefault="005810BD" w:rsidP="005810BD">
      <w:pPr>
        <w:pStyle w:val="Odstavecseseznamem"/>
        <w:tabs>
          <w:tab w:val="left" w:pos="1276"/>
          <w:tab w:val="left" w:pos="779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C1368" w:rsidRPr="00CA5A7B" w:rsidRDefault="000A43E8" w:rsidP="00CA5A7B">
      <w:pPr>
        <w:pStyle w:val="Odstavecseseznamem"/>
        <w:numPr>
          <w:ilvl w:val="0"/>
          <w:numId w:val="9"/>
        </w:numPr>
        <w:tabs>
          <w:tab w:val="left" w:pos="1276"/>
          <w:tab w:val="left" w:pos="779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A5A7B">
        <w:rPr>
          <w:rFonts w:ascii="Arial" w:hAnsi="Arial" w:cs="Arial"/>
          <w:sz w:val="22"/>
          <w:szCs w:val="22"/>
        </w:rPr>
        <w:t>Rozsah a forma odborného dohledu zubního lékaře nad výkonem povolání dentální hygienistky jsou obecně závaznými právními předpisy upraveny pouze formálně, nikoliv věcně</w:t>
      </w:r>
      <w:r w:rsidR="007C1368" w:rsidRPr="00CA5A7B">
        <w:rPr>
          <w:rFonts w:ascii="Arial" w:hAnsi="Arial" w:cs="Arial"/>
          <w:sz w:val="22"/>
          <w:szCs w:val="22"/>
        </w:rPr>
        <w:t>. Rozsah a forma odborného dohledu nad výkonem povolání nelékařského zdravotnického pracovníka přitom jednoznačně mají věcný medicínský základ, protože přímo ovlivňují obsah a bezpečnost zdravotní péče poskytované pacientovi. Rozsah a forma odborného dohledu tak jsou odborným problémem poskytování zdravotních služeb.</w:t>
      </w:r>
    </w:p>
    <w:p w:rsidR="007C1368" w:rsidRDefault="007C1368" w:rsidP="00CA5A7B">
      <w:p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0A43E8" w:rsidRPr="00CA5A7B" w:rsidRDefault="007C1368" w:rsidP="00CA5A7B">
      <w:pPr>
        <w:pStyle w:val="Odstavecseseznamem"/>
        <w:numPr>
          <w:ilvl w:val="0"/>
          <w:numId w:val="9"/>
        </w:numPr>
        <w:tabs>
          <w:tab w:val="left" w:pos="1276"/>
          <w:tab w:val="left" w:pos="779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A5A7B">
        <w:rPr>
          <w:rFonts w:ascii="Arial" w:hAnsi="Arial" w:cs="Arial"/>
          <w:sz w:val="22"/>
          <w:szCs w:val="22"/>
        </w:rPr>
        <w:t>Forma odborného dohledu je důležitá též z hlediska rozsahu odpovědnosti konkrétního poskytovatele zdravotních služeb a konkrétního zdravotnického pracovníka ve vztahu ke konkrétnímu pacientovi.</w:t>
      </w:r>
    </w:p>
    <w:p w:rsidR="007C1368" w:rsidRDefault="007C1368" w:rsidP="00CA5A7B">
      <w:p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7C1368" w:rsidRPr="00CA5A7B" w:rsidRDefault="007C1368" w:rsidP="00CA5A7B">
      <w:pPr>
        <w:pStyle w:val="Odstavecseseznamem"/>
        <w:numPr>
          <w:ilvl w:val="0"/>
          <w:numId w:val="9"/>
        </w:numPr>
        <w:tabs>
          <w:tab w:val="left" w:pos="1276"/>
          <w:tab w:val="left" w:pos="779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A5A7B">
        <w:rPr>
          <w:rFonts w:ascii="Arial" w:hAnsi="Arial" w:cs="Arial"/>
          <w:sz w:val="22"/>
          <w:szCs w:val="22"/>
        </w:rPr>
        <w:t>Rozsah odborného dohledu, zejména pak dostupnost rady a pomoci zubního lékaře je třeba přizpůsobit charakteru konkrétní činnosti, kterou dentální hygienistka pod odborným dohledem zubního lékaře vykonává.</w:t>
      </w:r>
    </w:p>
    <w:p w:rsidR="007C1368" w:rsidRDefault="007C1368" w:rsidP="00CA5A7B">
      <w:p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7C1368" w:rsidRPr="00CA5A7B" w:rsidRDefault="007C1368" w:rsidP="00CA5A7B">
      <w:pPr>
        <w:pStyle w:val="Odstavecseseznamem"/>
        <w:numPr>
          <w:ilvl w:val="0"/>
          <w:numId w:val="9"/>
        </w:numPr>
        <w:tabs>
          <w:tab w:val="left" w:pos="1276"/>
          <w:tab w:val="left" w:pos="779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A5A7B">
        <w:rPr>
          <w:rFonts w:ascii="Arial" w:hAnsi="Arial" w:cs="Arial"/>
          <w:sz w:val="22"/>
          <w:szCs w:val="22"/>
        </w:rPr>
        <w:t xml:space="preserve">Odpovědnost za dodržení podmínek odborného dohledu nese vedle poskytovatele, který poskytuje zdravotní služby </w:t>
      </w:r>
      <w:r w:rsidR="00AD57EF" w:rsidRPr="00CA5A7B">
        <w:rPr>
          <w:rFonts w:ascii="Arial" w:hAnsi="Arial" w:cs="Arial"/>
          <w:sz w:val="22"/>
          <w:szCs w:val="22"/>
        </w:rPr>
        <w:t xml:space="preserve">prostřednictvím dentální hygienistky pod odborným dohledem, též zubní lékař, který odborný dohled zajišťuje. </w:t>
      </w:r>
    </w:p>
    <w:p w:rsidR="00AD57EF" w:rsidRDefault="00AD57EF" w:rsidP="00CA5A7B">
      <w:p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AD57EF" w:rsidRPr="00CA5A7B" w:rsidRDefault="00CA5A7B" w:rsidP="00CA5A7B">
      <w:pPr>
        <w:pStyle w:val="Odstavecseseznamem"/>
        <w:numPr>
          <w:ilvl w:val="0"/>
          <w:numId w:val="9"/>
        </w:numPr>
        <w:tabs>
          <w:tab w:val="left" w:pos="1276"/>
          <w:tab w:val="left" w:pos="779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A5A7B">
        <w:rPr>
          <w:rFonts w:ascii="Arial" w:hAnsi="Arial" w:cs="Arial"/>
          <w:sz w:val="22"/>
          <w:szCs w:val="22"/>
        </w:rPr>
        <w:t xml:space="preserve">Rozsah a forma odborného dohledu musí odpovídat současnému stavu poznání v oboru zubního lékařství a dentální hygieny, a proto je nutno přijmout pro členy České stomatologické komory závazné stanovisko s okamžitou účinností. Zubním lékařům, kteří již vykonávají odborný dohled nad výkonem povolání dentální hygienistky, je nicméně třeba poskytnout přiměřený čas, aby svoji dosavadní praxi a právní vztahy uvedli do souladu s tímto závazným stanoviskem, </w:t>
      </w:r>
    </w:p>
    <w:p w:rsidR="007C1368" w:rsidRDefault="007C1368" w:rsidP="007B7940">
      <w:p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7B7940" w:rsidRDefault="007B7940" w:rsidP="007B7940">
      <w:p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7B7940">
        <w:rPr>
          <w:rFonts w:ascii="Arial" w:hAnsi="Arial" w:cs="Arial"/>
          <w:sz w:val="22"/>
          <w:szCs w:val="22"/>
        </w:rPr>
        <w:t>schválil toto závazné stanovisko České stomatologické komory:</w:t>
      </w:r>
    </w:p>
    <w:p w:rsidR="007B7940" w:rsidRDefault="007B7940" w:rsidP="007F24DF">
      <w:pPr>
        <w:tabs>
          <w:tab w:val="left" w:pos="1276"/>
          <w:tab w:val="left" w:pos="7797"/>
        </w:tabs>
        <w:rPr>
          <w:rFonts w:ascii="Arial" w:hAnsi="Arial" w:cs="Arial"/>
          <w:sz w:val="22"/>
          <w:szCs w:val="22"/>
        </w:rPr>
      </w:pPr>
    </w:p>
    <w:p w:rsidR="001C175C" w:rsidRDefault="008978BA" w:rsidP="008978BA">
      <w:pPr>
        <w:tabs>
          <w:tab w:val="left" w:pos="1276"/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bookmarkStart w:id="2" w:name="_Hlk12448355"/>
      <w:r>
        <w:rPr>
          <w:rFonts w:ascii="Arial" w:hAnsi="Arial" w:cs="Arial"/>
          <w:sz w:val="22"/>
          <w:szCs w:val="22"/>
        </w:rPr>
        <w:t>Čl. I</w:t>
      </w:r>
    </w:p>
    <w:p w:rsidR="008978BA" w:rsidRDefault="008978BA" w:rsidP="001C175C">
      <w:pPr>
        <w:tabs>
          <w:tab w:val="left" w:pos="1276"/>
          <w:tab w:val="left" w:pos="7797"/>
        </w:tabs>
        <w:rPr>
          <w:rFonts w:ascii="Arial" w:hAnsi="Arial" w:cs="Arial"/>
          <w:sz w:val="22"/>
          <w:szCs w:val="22"/>
        </w:rPr>
      </w:pPr>
    </w:p>
    <w:p w:rsidR="001C175C" w:rsidRPr="00B2389F" w:rsidRDefault="00B2389F" w:rsidP="00B2389F">
      <w:pPr>
        <w:pStyle w:val="Odstavecseseznamem"/>
        <w:numPr>
          <w:ilvl w:val="0"/>
          <w:numId w:val="2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2389F">
        <w:rPr>
          <w:rFonts w:ascii="Arial" w:hAnsi="Arial" w:cs="Arial"/>
          <w:sz w:val="22"/>
          <w:szCs w:val="22"/>
        </w:rPr>
        <w:t>odle § 16 odst. 3 vyhlášky č. 55/2011 Sb., o činnostech zdravotnických pracovníků a jiných odborných pracovníků, ve znění pozdějších předpisů</w:t>
      </w:r>
      <w:r>
        <w:rPr>
          <w:rFonts w:ascii="Arial" w:hAnsi="Arial" w:cs="Arial"/>
          <w:sz w:val="22"/>
          <w:szCs w:val="22"/>
        </w:rPr>
        <w:t>, může dentální hygienistka j</w:t>
      </w:r>
      <w:r w:rsidR="001C175C" w:rsidRPr="008978BA">
        <w:rPr>
          <w:rFonts w:ascii="Arial" w:hAnsi="Arial" w:cs="Arial"/>
          <w:sz w:val="22"/>
          <w:szCs w:val="22"/>
        </w:rPr>
        <w:t xml:space="preserve">en pod odborným dohledem zubního lékaře </w:t>
      </w:r>
    </w:p>
    <w:p w:rsidR="001C175C" w:rsidRPr="001C175C" w:rsidRDefault="001C175C" w:rsidP="005A73B2">
      <w:pPr>
        <w:pStyle w:val="Odstavecseseznamem"/>
        <w:numPr>
          <w:ilvl w:val="0"/>
          <w:numId w:val="1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1C175C">
        <w:rPr>
          <w:rFonts w:ascii="Arial" w:hAnsi="Arial" w:cs="Arial"/>
          <w:sz w:val="22"/>
          <w:szCs w:val="22"/>
        </w:rPr>
        <w:t>provádět aplikace povrchové anestézie pro povrchové znecitlivění dásní,</w:t>
      </w:r>
    </w:p>
    <w:p w:rsidR="001C175C" w:rsidRPr="001C175C" w:rsidRDefault="001C175C" w:rsidP="005A73B2">
      <w:pPr>
        <w:pStyle w:val="Odstavecseseznamem"/>
        <w:numPr>
          <w:ilvl w:val="0"/>
          <w:numId w:val="1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1C175C">
        <w:rPr>
          <w:rFonts w:ascii="Arial" w:hAnsi="Arial" w:cs="Arial"/>
          <w:sz w:val="22"/>
          <w:szCs w:val="22"/>
        </w:rPr>
        <w:t>měnit gumové příslušenství u fixních ortodontických aparátů,</w:t>
      </w:r>
    </w:p>
    <w:p w:rsidR="001C175C" w:rsidRPr="001C175C" w:rsidRDefault="001C175C" w:rsidP="005A73B2">
      <w:pPr>
        <w:pStyle w:val="Odstavecseseznamem"/>
        <w:numPr>
          <w:ilvl w:val="0"/>
          <w:numId w:val="1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1C175C">
        <w:rPr>
          <w:rFonts w:ascii="Arial" w:hAnsi="Arial" w:cs="Arial"/>
          <w:sz w:val="22"/>
          <w:szCs w:val="22"/>
        </w:rPr>
        <w:t>provádět bělení zubů a obdobné estetické úpravy a doporučení ohledně individuálního domácího bělení zubů,</w:t>
      </w:r>
    </w:p>
    <w:p w:rsidR="001C175C" w:rsidRPr="001C175C" w:rsidRDefault="001C175C" w:rsidP="005A73B2">
      <w:pPr>
        <w:pStyle w:val="Odstavecseseznamem"/>
        <w:numPr>
          <w:ilvl w:val="0"/>
          <w:numId w:val="1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1C175C">
        <w:rPr>
          <w:rFonts w:ascii="Arial" w:hAnsi="Arial" w:cs="Arial"/>
          <w:sz w:val="22"/>
          <w:szCs w:val="22"/>
        </w:rPr>
        <w:lastRenderedPageBreak/>
        <w:t>asistovat při ošetřeních dutiny ústní a zpracovávat dentální materiály v ordinaci,</w:t>
      </w:r>
    </w:p>
    <w:p w:rsidR="001C175C" w:rsidRPr="001C175C" w:rsidRDefault="001C175C" w:rsidP="005A73B2">
      <w:pPr>
        <w:pStyle w:val="Odstavecseseznamem"/>
        <w:numPr>
          <w:ilvl w:val="0"/>
          <w:numId w:val="1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1C175C">
        <w:rPr>
          <w:rFonts w:ascii="Arial" w:hAnsi="Arial" w:cs="Arial"/>
          <w:sz w:val="22"/>
          <w:szCs w:val="22"/>
        </w:rPr>
        <w:t>pečovat o pacienty v průběhu ošetření zubním lékařem,</w:t>
      </w:r>
    </w:p>
    <w:p w:rsidR="001C175C" w:rsidRPr="001C175C" w:rsidRDefault="001C175C" w:rsidP="005A73B2">
      <w:pPr>
        <w:pStyle w:val="Odstavecseseznamem"/>
        <w:numPr>
          <w:ilvl w:val="0"/>
          <w:numId w:val="1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1C175C">
        <w:rPr>
          <w:rFonts w:ascii="Arial" w:hAnsi="Arial" w:cs="Arial"/>
          <w:sz w:val="22"/>
          <w:szCs w:val="22"/>
        </w:rPr>
        <w:t>vyvolávat RTG snímky,</w:t>
      </w:r>
    </w:p>
    <w:p w:rsidR="001C175C" w:rsidRPr="001C175C" w:rsidRDefault="001C175C" w:rsidP="005A73B2">
      <w:pPr>
        <w:pStyle w:val="Odstavecseseznamem"/>
        <w:numPr>
          <w:ilvl w:val="0"/>
          <w:numId w:val="1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1C175C">
        <w:rPr>
          <w:rFonts w:ascii="Arial" w:hAnsi="Arial" w:cs="Arial"/>
          <w:sz w:val="22"/>
          <w:szCs w:val="22"/>
        </w:rPr>
        <w:t>v rozsahu své odborné způsobilosti vykonávat činnosti při přejímání, kontrole, manipulaci a uložení léčivých přípravků,</w:t>
      </w:r>
    </w:p>
    <w:p w:rsidR="001C175C" w:rsidRDefault="001C175C" w:rsidP="005A73B2">
      <w:pPr>
        <w:pStyle w:val="Odstavecseseznamem"/>
        <w:numPr>
          <w:ilvl w:val="0"/>
          <w:numId w:val="1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1C175C">
        <w:rPr>
          <w:rFonts w:ascii="Arial" w:hAnsi="Arial" w:cs="Arial"/>
          <w:sz w:val="22"/>
          <w:szCs w:val="22"/>
        </w:rPr>
        <w:t>v rozsahu své odborné způsobilosti vykonávat činnosti při přejímání, kontrole a uložení zdravotnických prostředků a prádla, manipulaci s nimi, jejich dezinfekci a sterilizaci a zajištění jejich dostatečné zásoby.</w:t>
      </w:r>
    </w:p>
    <w:p w:rsidR="001C175C" w:rsidRDefault="001C175C" w:rsidP="005A73B2">
      <w:pPr>
        <w:pStyle w:val="Odstavecseseznamem"/>
        <w:numPr>
          <w:ilvl w:val="0"/>
          <w:numId w:val="2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Výkonem povolání </w:t>
      </w:r>
      <w:r w:rsidR="00FC4508">
        <w:rPr>
          <w:rFonts w:ascii="Arial" w:hAnsi="Arial" w:cs="Arial"/>
          <w:sz w:val="22"/>
          <w:szCs w:val="22"/>
        </w:rPr>
        <w:t xml:space="preserve">dentální hygienistky </w:t>
      </w:r>
      <w:r>
        <w:rPr>
          <w:rFonts w:ascii="Arial" w:hAnsi="Arial" w:cs="Arial"/>
          <w:sz w:val="22"/>
          <w:szCs w:val="22"/>
        </w:rPr>
        <w:t xml:space="preserve">pod odborným dohledem zubního lékaře se rozumí výkon výše uvedených činností </w:t>
      </w:r>
      <w:r w:rsidR="00FC4508">
        <w:rPr>
          <w:rFonts w:ascii="Arial" w:hAnsi="Arial" w:cs="Arial"/>
          <w:sz w:val="22"/>
          <w:szCs w:val="22"/>
        </w:rPr>
        <w:t>při dosažitelnosti rady a pomoci zubního lékaře a v rozsahu, který zubní lékař určí.</w:t>
      </w:r>
    </w:p>
    <w:p w:rsidR="00FC4508" w:rsidRDefault="00FC4508" w:rsidP="007F24DF">
      <w:pPr>
        <w:tabs>
          <w:tab w:val="left" w:pos="1276"/>
          <w:tab w:val="left" w:pos="7797"/>
        </w:tabs>
        <w:rPr>
          <w:rFonts w:ascii="Arial" w:hAnsi="Arial" w:cs="Arial"/>
          <w:sz w:val="22"/>
          <w:szCs w:val="22"/>
        </w:rPr>
      </w:pPr>
    </w:p>
    <w:p w:rsidR="008978BA" w:rsidRDefault="008978BA" w:rsidP="008978BA">
      <w:pPr>
        <w:tabs>
          <w:tab w:val="left" w:pos="1276"/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</w:t>
      </w:r>
    </w:p>
    <w:p w:rsidR="008978BA" w:rsidRDefault="008978BA" w:rsidP="008978BA">
      <w:pPr>
        <w:tabs>
          <w:tab w:val="left" w:pos="1276"/>
          <w:tab w:val="left" w:pos="7797"/>
        </w:tabs>
        <w:jc w:val="center"/>
        <w:rPr>
          <w:rFonts w:ascii="Arial" w:hAnsi="Arial" w:cs="Arial"/>
          <w:sz w:val="22"/>
          <w:szCs w:val="22"/>
        </w:rPr>
      </w:pPr>
    </w:p>
    <w:p w:rsidR="00FC4508" w:rsidRDefault="00FC4508" w:rsidP="005A73B2">
      <w:pPr>
        <w:pStyle w:val="Odstavecseseznamem"/>
        <w:numPr>
          <w:ilvl w:val="0"/>
          <w:numId w:val="3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Zubní lékař vykonává odborný dohled nad výkonem povolání dentální hygienistky, která je</w:t>
      </w:r>
    </w:p>
    <w:p w:rsidR="00FC4508" w:rsidRDefault="00FC4508" w:rsidP="005A73B2">
      <w:pPr>
        <w:pStyle w:val="Odstavecseseznamem"/>
        <w:numPr>
          <w:ilvl w:val="0"/>
          <w:numId w:val="4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 zaměstnancem nebo zaměstnancem jeho zaměstnavatele,</w:t>
      </w:r>
    </w:p>
    <w:p w:rsidR="00FC4508" w:rsidRDefault="00FC4508" w:rsidP="005A73B2">
      <w:pPr>
        <w:pStyle w:val="Odstavecseseznamem"/>
        <w:numPr>
          <w:ilvl w:val="0"/>
          <w:numId w:val="4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poskytovatelem zdravotních služeb, s nímž zubní lékař uzavřel písemnou smlouvu o výkonu odborného dohledu,</w:t>
      </w:r>
    </w:p>
    <w:p w:rsidR="00FC4508" w:rsidRDefault="00FC4508" w:rsidP="005A73B2">
      <w:pPr>
        <w:pStyle w:val="Odstavecseseznamem"/>
        <w:numPr>
          <w:ilvl w:val="0"/>
          <w:numId w:val="4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zaměstnancem poskytovatele zdravotních služeb, s nímž zubní lékař uzavřel písemnou smlouvu o výkonu odborného dohledu.</w:t>
      </w:r>
    </w:p>
    <w:p w:rsidR="00FC4508" w:rsidRDefault="00D211D6" w:rsidP="005A73B2">
      <w:pPr>
        <w:pStyle w:val="Odstavecseseznamem"/>
        <w:numPr>
          <w:ilvl w:val="0"/>
          <w:numId w:val="3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FC4508">
        <w:rPr>
          <w:rFonts w:ascii="Arial" w:hAnsi="Arial" w:cs="Arial"/>
          <w:sz w:val="22"/>
          <w:szCs w:val="22"/>
        </w:rPr>
        <w:t xml:space="preserve"> zajištění dosažitelnosti rady a pomoci při výkonu činností uvedených </w:t>
      </w:r>
    </w:p>
    <w:p w:rsidR="00D211D6" w:rsidRDefault="00D211D6" w:rsidP="005A73B2">
      <w:pPr>
        <w:pStyle w:val="Odstavecseseznamem"/>
        <w:numPr>
          <w:ilvl w:val="0"/>
          <w:numId w:val="5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I </w:t>
      </w:r>
      <w:r w:rsidR="008978BA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 xml:space="preserve">písm. a) až </w:t>
      </w:r>
      <w:r w:rsidR="00097AF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 je zubní lékař přítomen v</w:t>
      </w:r>
      <w:r w:rsidR="00E91006">
        <w:rPr>
          <w:rFonts w:ascii="Arial" w:hAnsi="Arial" w:cs="Arial"/>
          <w:sz w:val="22"/>
          <w:szCs w:val="22"/>
        </w:rPr>
        <w:t xml:space="preserve">e zdravotnickém zařízení, </w:t>
      </w:r>
      <w:r>
        <w:rPr>
          <w:rFonts w:ascii="Arial" w:hAnsi="Arial" w:cs="Arial"/>
          <w:sz w:val="22"/>
          <w:szCs w:val="22"/>
        </w:rPr>
        <w:t>ve které</w:t>
      </w:r>
      <w:r w:rsidR="00E9100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dentální hygienistka tyto činnosti vykonává, </w:t>
      </w:r>
      <w:r w:rsidR="00E91006">
        <w:rPr>
          <w:rFonts w:ascii="Arial" w:hAnsi="Arial" w:cs="Arial"/>
          <w:sz w:val="22"/>
          <w:szCs w:val="22"/>
        </w:rPr>
        <w:t xml:space="preserve">anebo v budově, ve které se takové zdravotnické zařízení nachází, </w:t>
      </w:r>
      <w:r>
        <w:rPr>
          <w:rFonts w:ascii="Arial" w:hAnsi="Arial" w:cs="Arial"/>
          <w:sz w:val="22"/>
          <w:szCs w:val="22"/>
        </w:rPr>
        <w:t xml:space="preserve">a to po celou </w:t>
      </w:r>
      <w:r w:rsidR="00E91006">
        <w:rPr>
          <w:rFonts w:ascii="Arial" w:hAnsi="Arial" w:cs="Arial"/>
          <w:sz w:val="22"/>
          <w:szCs w:val="22"/>
        </w:rPr>
        <w:t xml:space="preserve">pracovní </w:t>
      </w:r>
      <w:r>
        <w:rPr>
          <w:rFonts w:ascii="Arial" w:hAnsi="Arial" w:cs="Arial"/>
          <w:sz w:val="22"/>
          <w:szCs w:val="22"/>
        </w:rPr>
        <w:t xml:space="preserve">dobu </w:t>
      </w:r>
      <w:r w:rsidR="00E91006">
        <w:rPr>
          <w:rFonts w:ascii="Arial" w:hAnsi="Arial" w:cs="Arial"/>
          <w:sz w:val="22"/>
          <w:szCs w:val="22"/>
        </w:rPr>
        <w:t>dentální hygienistky</w:t>
      </w:r>
      <w:r>
        <w:rPr>
          <w:rFonts w:ascii="Arial" w:hAnsi="Arial" w:cs="Arial"/>
          <w:sz w:val="22"/>
          <w:szCs w:val="22"/>
        </w:rPr>
        <w:t>,</w:t>
      </w:r>
    </w:p>
    <w:p w:rsidR="00D211D6" w:rsidRDefault="00D211D6" w:rsidP="005A73B2">
      <w:pPr>
        <w:pStyle w:val="Odstavecseseznamem"/>
        <w:numPr>
          <w:ilvl w:val="0"/>
          <w:numId w:val="5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I </w:t>
      </w:r>
      <w:r w:rsidR="008978BA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 xml:space="preserve">písm. f) až h) </w:t>
      </w:r>
      <w:r w:rsidR="008978BA">
        <w:rPr>
          <w:rFonts w:ascii="Arial" w:hAnsi="Arial" w:cs="Arial"/>
          <w:sz w:val="22"/>
          <w:szCs w:val="22"/>
        </w:rPr>
        <w:t>je zubní lékař dostupný telefonicky po celou pracovní dobu dentální hygienistky a dosažitelný fyzicky do 48 hodin.</w:t>
      </w:r>
    </w:p>
    <w:p w:rsidR="008978BA" w:rsidRDefault="005810BD" w:rsidP="005810BD">
      <w:pPr>
        <w:pStyle w:val="Odstavecseseznamem"/>
        <w:numPr>
          <w:ilvl w:val="0"/>
          <w:numId w:val="3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Zubní lékař vykonávající odborný dohled nepřipustí, aby dentální hygienistka pod jeho odborným dohledem vykonávala činnosti uvedené v čl. I odst. 1 a čl. III odst. 1 bez indikace zubního lékaře.</w:t>
      </w:r>
    </w:p>
    <w:p w:rsidR="005810BD" w:rsidRDefault="005810BD" w:rsidP="005810BD">
      <w:pPr>
        <w:pStyle w:val="Odstavecseseznamem"/>
        <w:tabs>
          <w:tab w:val="left" w:pos="1276"/>
          <w:tab w:val="left" w:pos="779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978BA" w:rsidRDefault="008978BA" w:rsidP="005A73B2">
      <w:pPr>
        <w:tabs>
          <w:tab w:val="left" w:pos="1276"/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III</w:t>
      </w:r>
    </w:p>
    <w:p w:rsidR="008978BA" w:rsidRDefault="008978BA" w:rsidP="007F24DF">
      <w:pPr>
        <w:tabs>
          <w:tab w:val="left" w:pos="1276"/>
          <w:tab w:val="left" w:pos="7797"/>
        </w:tabs>
        <w:rPr>
          <w:rFonts w:ascii="Arial" w:hAnsi="Arial" w:cs="Arial"/>
          <w:sz w:val="22"/>
          <w:szCs w:val="22"/>
        </w:rPr>
      </w:pPr>
    </w:p>
    <w:p w:rsidR="008978BA" w:rsidRPr="008978BA" w:rsidRDefault="00B2389F" w:rsidP="005A73B2">
      <w:pPr>
        <w:pStyle w:val="Odstavecseseznamem"/>
        <w:numPr>
          <w:ilvl w:val="0"/>
          <w:numId w:val="6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B2389F">
        <w:rPr>
          <w:rFonts w:ascii="Arial" w:hAnsi="Arial" w:cs="Arial"/>
          <w:sz w:val="22"/>
          <w:szCs w:val="22"/>
        </w:rPr>
        <w:t xml:space="preserve">Podle § 16 odst. </w:t>
      </w:r>
      <w:r>
        <w:rPr>
          <w:rFonts w:ascii="Arial" w:hAnsi="Arial" w:cs="Arial"/>
          <w:sz w:val="22"/>
          <w:szCs w:val="22"/>
        </w:rPr>
        <w:t>2</w:t>
      </w:r>
      <w:r w:rsidRPr="00B2389F">
        <w:rPr>
          <w:rFonts w:ascii="Arial" w:hAnsi="Arial" w:cs="Arial"/>
          <w:sz w:val="22"/>
          <w:szCs w:val="22"/>
        </w:rPr>
        <w:t xml:space="preserve"> vyhlášky č. 55/2011 Sb., o činnostech zdravotnických pracovníků a jiných odborných pracovníků, ve znění pozdějších předpisů, může dentální hygienistka jen </w:t>
      </w:r>
      <w:r>
        <w:rPr>
          <w:rFonts w:ascii="Arial" w:hAnsi="Arial" w:cs="Arial"/>
          <w:sz w:val="22"/>
          <w:szCs w:val="22"/>
        </w:rPr>
        <w:t>v</w:t>
      </w:r>
      <w:r w:rsidR="008978BA" w:rsidRPr="008978BA">
        <w:rPr>
          <w:rFonts w:ascii="Arial" w:hAnsi="Arial" w:cs="Arial"/>
          <w:sz w:val="22"/>
          <w:szCs w:val="22"/>
        </w:rPr>
        <w:t xml:space="preserve"> souladu s diagnózou a individuálním léčebným postupem stanoveným zubním</w:t>
      </w:r>
      <w:r>
        <w:rPr>
          <w:rFonts w:ascii="Arial" w:hAnsi="Arial" w:cs="Arial"/>
          <w:sz w:val="22"/>
          <w:szCs w:val="22"/>
        </w:rPr>
        <w:t xml:space="preserve"> </w:t>
      </w:r>
      <w:r w:rsidR="005810BD">
        <w:rPr>
          <w:rFonts w:ascii="Arial" w:hAnsi="Arial" w:cs="Arial"/>
          <w:sz w:val="22"/>
          <w:szCs w:val="22"/>
        </w:rPr>
        <w:t xml:space="preserve">lékařem </w:t>
      </w:r>
      <w:r w:rsidR="008978BA" w:rsidRPr="008978BA">
        <w:rPr>
          <w:rFonts w:ascii="Arial" w:hAnsi="Arial" w:cs="Arial"/>
          <w:sz w:val="22"/>
          <w:szCs w:val="22"/>
        </w:rPr>
        <w:t>provádět profylaxi onemocnění ústní dutiny včetně odhalení časných patologických změn a prevence jejich zhoršování. Přitom zejména může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 xml:space="preserve">provádět vstupní a kontrolní vyšetření </w:t>
      </w:r>
      <w:r w:rsidR="00097AF0">
        <w:rPr>
          <w:rFonts w:ascii="Arial" w:hAnsi="Arial" w:cs="Arial"/>
          <w:sz w:val="22"/>
          <w:szCs w:val="22"/>
        </w:rPr>
        <w:t xml:space="preserve">úrovně hygieny </w:t>
      </w:r>
      <w:r w:rsidRPr="008978BA">
        <w:rPr>
          <w:rFonts w:ascii="Arial" w:hAnsi="Arial" w:cs="Arial"/>
          <w:sz w:val="22"/>
          <w:szCs w:val="22"/>
        </w:rPr>
        <w:t xml:space="preserve">ústní dutiny včetně získání anamnézy, zhodnocení stavu </w:t>
      </w:r>
      <w:proofErr w:type="spellStart"/>
      <w:r w:rsidRPr="008978BA">
        <w:rPr>
          <w:rFonts w:ascii="Arial" w:hAnsi="Arial" w:cs="Arial"/>
          <w:sz w:val="22"/>
          <w:szCs w:val="22"/>
        </w:rPr>
        <w:t>parodontu</w:t>
      </w:r>
      <w:proofErr w:type="spellEnd"/>
      <w:r w:rsidRPr="008978BA">
        <w:rPr>
          <w:rFonts w:ascii="Arial" w:hAnsi="Arial" w:cs="Arial"/>
          <w:sz w:val="22"/>
          <w:szCs w:val="22"/>
        </w:rPr>
        <w:t xml:space="preserve"> a měkkých tkání, orientačního zhodnocení stavu chrupu a jeho kazivosti,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>provádět otisky chrupu,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 xml:space="preserve">odstraňovat zubní plak a kámen z mezizubních a </w:t>
      </w:r>
      <w:proofErr w:type="spellStart"/>
      <w:r w:rsidRPr="008978BA">
        <w:rPr>
          <w:rFonts w:ascii="Arial" w:hAnsi="Arial" w:cs="Arial"/>
          <w:sz w:val="22"/>
          <w:szCs w:val="22"/>
        </w:rPr>
        <w:t>supragingiválních</w:t>
      </w:r>
      <w:proofErr w:type="spellEnd"/>
      <w:r w:rsidRPr="008978BA">
        <w:rPr>
          <w:rFonts w:ascii="Arial" w:hAnsi="Arial" w:cs="Arial"/>
          <w:sz w:val="22"/>
          <w:szCs w:val="22"/>
        </w:rPr>
        <w:t xml:space="preserve"> prostorů, leštit povrch zubů profylaktickými materiály,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 xml:space="preserve">odstraňovat </w:t>
      </w:r>
      <w:proofErr w:type="spellStart"/>
      <w:r w:rsidRPr="008978BA">
        <w:rPr>
          <w:rFonts w:ascii="Arial" w:hAnsi="Arial" w:cs="Arial"/>
          <w:sz w:val="22"/>
          <w:szCs w:val="22"/>
        </w:rPr>
        <w:t>subgingivální</w:t>
      </w:r>
      <w:proofErr w:type="spellEnd"/>
      <w:r w:rsidRPr="008978BA">
        <w:rPr>
          <w:rFonts w:ascii="Arial" w:hAnsi="Arial" w:cs="Arial"/>
          <w:sz w:val="22"/>
          <w:szCs w:val="22"/>
        </w:rPr>
        <w:t xml:space="preserve"> zubní kámen v rámci nechirurgické léčby,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>provádět ošetření citlivého dentinu a aplikaci profylaktických materiálů, jako jsou fluoridové roztoky,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>provádět odstraňování retenčních míst plaku a povrchové úpravy výplní,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>provádět odborné čištění zubů,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>stanovit individuální léčebný plán dentální hygieny a na jeho základě provádět konzervativní nechirurgickou terapii, a to iniciální, udržovací a podpůrnou antimikrobiální; individuální léčebný plán dentální hygieny lze stanovit pouze v mezích individuálního léčebného postupu stanoveného zubním lékařem,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 xml:space="preserve">provádět neinvazivní aplikace antiseptických, adstringentních a antibakteriálních léčivých přípravků </w:t>
      </w:r>
      <w:proofErr w:type="spellStart"/>
      <w:r w:rsidRPr="008978BA">
        <w:rPr>
          <w:rFonts w:ascii="Arial" w:hAnsi="Arial" w:cs="Arial"/>
          <w:sz w:val="22"/>
          <w:szCs w:val="22"/>
        </w:rPr>
        <w:t>supragingiválně</w:t>
      </w:r>
      <w:proofErr w:type="spellEnd"/>
      <w:r w:rsidRPr="008978BA">
        <w:rPr>
          <w:rFonts w:ascii="Arial" w:hAnsi="Arial" w:cs="Arial"/>
          <w:sz w:val="22"/>
          <w:szCs w:val="22"/>
        </w:rPr>
        <w:t xml:space="preserve"> i do </w:t>
      </w:r>
      <w:proofErr w:type="spellStart"/>
      <w:r w:rsidRPr="008978BA">
        <w:rPr>
          <w:rFonts w:ascii="Arial" w:hAnsi="Arial" w:cs="Arial"/>
          <w:sz w:val="22"/>
          <w:szCs w:val="22"/>
        </w:rPr>
        <w:t>subgingiválních</w:t>
      </w:r>
      <w:proofErr w:type="spellEnd"/>
      <w:r w:rsidRPr="008978BA">
        <w:rPr>
          <w:rFonts w:ascii="Arial" w:hAnsi="Arial" w:cs="Arial"/>
          <w:sz w:val="22"/>
          <w:szCs w:val="22"/>
        </w:rPr>
        <w:t xml:space="preserve"> prostor,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>ohlazovat kořeny zubů,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>provádět uzavřenou kyretáž,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lastRenderedPageBreak/>
        <w:t>odstraňovat pigmentace profylaktickými materiály i speciálními přístroji,</w:t>
      </w:r>
    </w:p>
    <w:p w:rsidR="008978BA" w:rsidRP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>zhotovovat studijní modely,</w:t>
      </w:r>
    </w:p>
    <w:p w:rsidR="008978BA" w:rsidRDefault="008978BA" w:rsidP="005A73B2">
      <w:pPr>
        <w:pStyle w:val="Odstavecseseznamem"/>
        <w:numPr>
          <w:ilvl w:val="0"/>
          <w:numId w:val="7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978BA">
        <w:rPr>
          <w:rFonts w:ascii="Arial" w:hAnsi="Arial" w:cs="Arial"/>
          <w:sz w:val="22"/>
          <w:szCs w:val="22"/>
        </w:rPr>
        <w:t>informovat ošetřujícího zubního lékaře o výsledcích ošetřování pacientů a doporučovat kontrolní vyšetření zubním lékařem nejdéle po 6 měsících.</w:t>
      </w:r>
    </w:p>
    <w:p w:rsidR="00B4668C" w:rsidRDefault="00746912" w:rsidP="005A73B2">
      <w:pPr>
        <w:pStyle w:val="Odstavecseseznamem"/>
        <w:numPr>
          <w:ilvl w:val="0"/>
          <w:numId w:val="6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Zubní lékař pro účely výkonu činností uvedených v</w:t>
      </w:r>
      <w:r w:rsidR="001B7C9F">
        <w:rPr>
          <w:rFonts w:ascii="Arial" w:hAnsi="Arial" w:cs="Arial"/>
          <w:sz w:val="22"/>
          <w:szCs w:val="22"/>
        </w:rPr>
        <w:t xml:space="preserve"> čl. I odst. 1 a čl. III odst. </w:t>
      </w:r>
      <w:r>
        <w:rPr>
          <w:rFonts w:ascii="Arial" w:hAnsi="Arial" w:cs="Arial"/>
          <w:sz w:val="22"/>
          <w:szCs w:val="22"/>
        </w:rPr>
        <w:t xml:space="preserve">1 dentální hygienistkou stanoví diagnózu a individuální léčebný postup </w:t>
      </w:r>
      <w:r w:rsidRPr="00746912">
        <w:rPr>
          <w:rFonts w:ascii="Arial" w:hAnsi="Arial" w:cs="Arial"/>
          <w:sz w:val="22"/>
          <w:szCs w:val="22"/>
        </w:rPr>
        <w:t xml:space="preserve">dostatečně určitě a podrobně tak, aby bylo zřejmé, které konkrétní činnosti </w:t>
      </w:r>
      <w:r w:rsidR="005A73B2">
        <w:rPr>
          <w:rFonts w:ascii="Arial" w:hAnsi="Arial" w:cs="Arial"/>
          <w:sz w:val="22"/>
          <w:szCs w:val="22"/>
        </w:rPr>
        <w:t xml:space="preserve">v rámci léčby pacienta </w:t>
      </w:r>
      <w:r w:rsidRPr="00746912">
        <w:rPr>
          <w:rFonts w:ascii="Arial" w:hAnsi="Arial" w:cs="Arial"/>
          <w:sz w:val="22"/>
          <w:szCs w:val="22"/>
        </w:rPr>
        <w:t>má provést</w:t>
      </w:r>
      <w:r w:rsidR="005A73B2" w:rsidRPr="005A73B2">
        <w:rPr>
          <w:rFonts w:ascii="Arial" w:hAnsi="Arial" w:cs="Arial"/>
          <w:sz w:val="22"/>
          <w:szCs w:val="22"/>
        </w:rPr>
        <w:t xml:space="preserve"> </w:t>
      </w:r>
      <w:r w:rsidR="005A73B2" w:rsidRPr="00746912">
        <w:rPr>
          <w:rFonts w:ascii="Arial" w:hAnsi="Arial" w:cs="Arial"/>
          <w:sz w:val="22"/>
          <w:szCs w:val="22"/>
        </w:rPr>
        <w:t>dentální hygienistka</w:t>
      </w:r>
      <w:r w:rsidRPr="00746912">
        <w:rPr>
          <w:rFonts w:ascii="Arial" w:hAnsi="Arial" w:cs="Arial"/>
          <w:sz w:val="22"/>
          <w:szCs w:val="22"/>
        </w:rPr>
        <w:t>, v jakém rozsahu a případně lokalizaci a případně kterými postupy.</w:t>
      </w:r>
    </w:p>
    <w:p w:rsidR="00746912" w:rsidRPr="00746912" w:rsidRDefault="00746912" w:rsidP="005A73B2">
      <w:pPr>
        <w:pStyle w:val="Odstavecseseznamem"/>
        <w:numPr>
          <w:ilvl w:val="0"/>
          <w:numId w:val="6"/>
        </w:numPr>
        <w:tabs>
          <w:tab w:val="left" w:pos="1276"/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Písemný záznam o stanovení diagnózy a individuálního léčebného </w:t>
      </w:r>
      <w:r w:rsidR="005A73B2">
        <w:rPr>
          <w:rFonts w:ascii="Arial" w:hAnsi="Arial" w:cs="Arial"/>
          <w:sz w:val="22"/>
          <w:szCs w:val="22"/>
        </w:rPr>
        <w:t>postupu podle odstavce 2 zubní lékař zpřístupní dentální hygienistce.</w:t>
      </w:r>
      <w:bookmarkEnd w:id="2"/>
      <w:r w:rsidR="005A73B2">
        <w:rPr>
          <w:rFonts w:ascii="Arial" w:hAnsi="Arial" w:cs="Arial"/>
          <w:sz w:val="22"/>
          <w:szCs w:val="22"/>
        </w:rPr>
        <w:t xml:space="preserve"> </w:t>
      </w:r>
    </w:p>
    <w:p w:rsidR="00746912" w:rsidRDefault="00746912">
      <w:pPr>
        <w:rPr>
          <w:rFonts w:ascii="Arial" w:hAnsi="Arial" w:cs="Arial"/>
          <w:bCs/>
          <w:sz w:val="22"/>
          <w:szCs w:val="22"/>
        </w:rPr>
      </w:pPr>
    </w:p>
    <w:p w:rsidR="00B4668C" w:rsidRDefault="00B4668C">
      <w:pPr>
        <w:rPr>
          <w:rFonts w:ascii="Arial" w:hAnsi="Arial" w:cs="Arial"/>
          <w:bCs/>
          <w:sz w:val="22"/>
          <w:szCs w:val="22"/>
        </w:rPr>
      </w:pPr>
    </w:p>
    <w:p w:rsidR="007B7940" w:rsidRPr="007B7940" w:rsidRDefault="007B7940" w:rsidP="007B7940">
      <w:pPr>
        <w:jc w:val="center"/>
        <w:rPr>
          <w:rFonts w:ascii="Arial" w:hAnsi="Arial" w:cs="Arial"/>
          <w:bCs/>
          <w:sz w:val="22"/>
          <w:szCs w:val="22"/>
        </w:rPr>
      </w:pPr>
      <w:r w:rsidRPr="007B7940">
        <w:rPr>
          <w:rFonts w:ascii="Arial" w:hAnsi="Arial" w:cs="Arial"/>
          <w:bCs/>
          <w:sz w:val="22"/>
          <w:szCs w:val="22"/>
        </w:rPr>
        <w:t>Čl. I</w:t>
      </w:r>
      <w:r>
        <w:rPr>
          <w:rFonts w:ascii="Arial" w:hAnsi="Arial" w:cs="Arial"/>
          <w:bCs/>
          <w:sz w:val="22"/>
          <w:szCs w:val="22"/>
        </w:rPr>
        <w:t>V</w:t>
      </w:r>
    </w:p>
    <w:p w:rsidR="007B7940" w:rsidRPr="007B7940" w:rsidRDefault="007B7940" w:rsidP="007B7940">
      <w:pPr>
        <w:jc w:val="center"/>
        <w:rPr>
          <w:rFonts w:ascii="Arial" w:hAnsi="Arial" w:cs="Arial"/>
          <w:bCs/>
          <w:sz w:val="22"/>
          <w:szCs w:val="22"/>
        </w:rPr>
      </w:pPr>
      <w:r w:rsidRPr="007B7940">
        <w:rPr>
          <w:rFonts w:ascii="Arial" w:hAnsi="Arial" w:cs="Arial"/>
          <w:bCs/>
          <w:sz w:val="22"/>
          <w:szCs w:val="22"/>
        </w:rPr>
        <w:t>Účinnost</w:t>
      </w:r>
    </w:p>
    <w:p w:rsidR="007B7940" w:rsidRPr="007B7940" w:rsidRDefault="007B7940" w:rsidP="007B7940">
      <w:pPr>
        <w:rPr>
          <w:rFonts w:ascii="Arial" w:hAnsi="Arial" w:cs="Arial"/>
          <w:bCs/>
          <w:sz w:val="22"/>
          <w:szCs w:val="22"/>
        </w:rPr>
      </w:pPr>
    </w:p>
    <w:p w:rsidR="007B7940" w:rsidRPr="008978BA" w:rsidRDefault="007B7940" w:rsidP="00F373A8">
      <w:pPr>
        <w:jc w:val="both"/>
        <w:rPr>
          <w:rFonts w:ascii="Arial" w:hAnsi="Arial" w:cs="Arial"/>
          <w:bCs/>
          <w:sz w:val="22"/>
          <w:szCs w:val="22"/>
        </w:rPr>
      </w:pPr>
      <w:r w:rsidRPr="007B7940">
        <w:rPr>
          <w:rFonts w:ascii="Arial" w:hAnsi="Arial" w:cs="Arial"/>
          <w:bCs/>
          <w:sz w:val="22"/>
          <w:szCs w:val="22"/>
        </w:rPr>
        <w:t>Toto závazné stanovisko nabývá účinnosti</w:t>
      </w:r>
      <w:r w:rsidR="00F373A8">
        <w:rPr>
          <w:rFonts w:ascii="Arial" w:hAnsi="Arial" w:cs="Arial"/>
          <w:bCs/>
          <w:sz w:val="22"/>
          <w:szCs w:val="22"/>
        </w:rPr>
        <w:t xml:space="preserve"> vyhlášením</w:t>
      </w:r>
      <w:r w:rsidR="00CA5A7B">
        <w:rPr>
          <w:rFonts w:ascii="Arial" w:hAnsi="Arial" w:cs="Arial"/>
          <w:bCs/>
          <w:sz w:val="22"/>
          <w:szCs w:val="22"/>
        </w:rPr>
        <w:t xml:space="preserve">. </w:t>
      </w:r>
      <w:r w:rsidR="00F373A8">
        <w:rPr>
          <w:rFonts w:ascii="Arial" w:hAnsi="Arial" w:cs="Arial"/>
          <w:bCs/>
          <w:sz w:val="22"/>
          <w:szCs w:val="22"/>
        </w:rPr>
        <w:t xml:space="preserve"> </w:t>
      </w:r>
      <w:r w:rsidR="00CA5A7B">
        <w:rPr>
          <w:rFonts w:ascii="Arial" w:hAnsi="Arial" w:cs="Arial"/>
          <w:bCs/>
          <w:sz w:val="22"/>
          <w:szCs w:val="22"/>
        </w:rPr>
        <w:t xml:space="preserve">Zubní lékař, který ke dni účinnosti tohoto závazného stanoviska vykonává odborný dohled nad výkonem povolání dentální hygienistky způsobem, který neodpovídá tomuto závaznému stanovisku, uvede </w:t>
      </w:r>
      <w:r w:rsidR="00A108E7">
        <w:rPr>
          <w:rFonts w:ascii="Arial" w:hAnsi="Arial" w:cs="Arial"/>
          <w:bCs/>
          <w:sz w:val="22"/>
          <w:szCs w:val="22"/>
        </w:rPr>
        <w:t>výkon odborného dohledu nad výkonem povolání dentální hygienistky do souladu s tímto závazným stanoviskem nejpozději do 31. prosince 2020.</w:t>
      </w:r>
    </w:p>
    <w:sectPr w:rsidR="007B7940" w:rsidRPr="008978BA" w:rsidSect="00BC3A0B">
      <w:pgSz w:w="11906" w:h="16838"/>
      <w:pgMar w:top="1078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F75"/>
    <w:multiLevelType w:val="hybridMultilevel"/>
    <w:tmpl w:val="FAD08F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66B05"/>
    <w:multiLevelType w:val="hybridMultilevel"/>
    <w:tmpl w:val="DA9C4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14D37"/>
    <w:multiLevelType w:val="hybridMultilevel"/>
    <w:tmpl w:val="8D7432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C6F0D"/>
    <w:multiLevelType w:val="hybridMultilevel"/>
    <w:tmpl w:val="DA9C4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A48C3"/>
    <w:multiLevelType w:val="hybridMultilevel"/>
    <w:tmpl w:val="8D7432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9E2581"/>
    <w:multiLevelType w:val="hybridMultilevel"/>
    <w:tmpl w:val="DA9C4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D099E"/>
    <w:multiLevelType w:val="hybridMultilevel"/>
    <w:tmpl w:val="DA9C4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D67FE"/>
    <w:multiLevelType w:val="hybridMultilevel"/>
    <w:tmpl w:val="DA9C4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40F36"/>
    <w:multiLevelType w:val="hybridMultilevel"/>
    <w:tmpl w:val="8D7432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5C"/>
    <w:rsid w:val="00030ED5"/>
    <w:rsid w:val="00053996"/>
    <w:rsid w:val="00075115"/>
    <w:rsid w:val="00097AF0"/>
    <w:rsid w:val="000A43E8"/>
    <w:rsid w:val="00116CAB"/>
    <w:rsid w:val="0012294D"/>
    <w:rsid w:val="001B7C9F"/>
    <w:rsid w:val="001C175C"/>
    <w:rsid w:val="001D140A"/>
    <w:rsid w:val="001D7959"/>
    <w:rsid w:val="001E63F3"/>
    <w:rsid w:val="00227901"/>
    <w:rsid w:val="00244A01"/>
    <w:rsid w:val="002D7217"/>
    <w:rsid w:val="00321D95"/>
    <w:rsid w:val="003252B8"/>
    <w:rsid w:val="00336070"/>
    <w:rsid w:val="003537D8"/>
    <w:rsid w:val="0036348C"/>
    <w:rsid w:val="00364490"/>
    <w:rsid w:val="0037209A"/>
    <w:rsid w:val="003C3405"/>
    <w:rsid w:val="0041607F"/>
    <w:rsid w:val="00430752"/>
    <w:rsid w:val="00481679"/>
    <w:rsid w:val="004F2560"/>
    <w:rsid w:val="0051620E"/>
    <w:rsid w:val="00530425"/>
    <w:rsid w:val="005810BD"/>
    <w:rsid w:val="005A73B2"/>
    <w:rsid w:val="005E12B6"/>
    <w:rsid w:val="006129C7"/>
    <w:rsid w:val="00662C28"/>
    <w:rsid w:val="00673319"/>
    <w:rsid w:val="006E60F5"/>
    <w:rsid w:val="00716A35"/>
    <w:rsid w:val="00746912"/>
    <w:rsid w:val="007715F9"/>
    <w:rsid w:val="0078340A"/>
    <w:rsid w:val="00797654"/>
    <w:rsid w:val="007B7940"/>
    <w:rsid w:val="007C1368"/>
    <w:rsid w:val="007C352A"/>
    <w:rsid w:val="007E6482"/>
    <w:rsid w:val="007F24DF"/>
    <w:rsid w:val="00806CF1"/>
    <w:rsid w:val="00811319"/>
    <w:rsid w:val="00812BA6"/>
    <w:rsid w:val="0081394B"/>
    <w:rsid w:val="00832D1D"/>
    <w:rsid w:val="008410A2"/>
    <w:rsid w:val="00847F00"/>
    <w:rsid w:val="008528BD"/>
    <w:rsid w:val="008978BA"/>
    <w:rsid w:val="008A297F"/>
    <w:rsid w:val="009A72FF"/>
    <w:rsid w:val="009B7B60"/>
    <w:rsid w:val="009D3CC5"/>
    <w:rsid w:val="00A108E7"/>
    <w:rsid w:val="00A225F0"/>
    <w:rsid w:val="00A32486"/>
    <w:rsid w:val="00A63236"/>
    <w:rsid w:val="00A976AC"/>
    <w:rsid w:val="00AD57EF"/>
    <w:rsid w:val="00AD7EA8"/>
    <w:rsid w:val="00AE0C93"/>
    <w:rsid w:val="00B179E9"/>
    <w:rsid w:val="00B2389F"/>
    <w:rsid w:val="00B3575B"/>
    <w:rsid w:val="00B36B00"/>
    <w:rsid w:val="00B4668C"/>
    <w:rsid w:val="00B53CD6"/>
    <w:rsid w:val="00B65799"/>
    <w:rsid w:val="00B84CBD"/>
    <w:rsid w:val="00BC3A0B"/>
    <w:rsid w:val="00C13EA6"/>
    <w:rsid w:val="00C16892"/>
    <w:rsid w:val="00C2575C"/>
    <w:rsid w:val="00CA13E8"/>
    <w:rsid w:val="00CA5A7B"/>
    <w:rsid w:val="00CB5651"/>
    <w:rsid w:val="00D211D6"/>
    <w:rsid w:val="00D33AFB"/>
    <w:rsid w:val="00DC3772"/>
    <w:rsid w:val="00DE1E9E"/>
    <w:rsid w:val="00E43BF5"/>
    <w:rsid w:val="00E54BB2"/>
    <w:rsid w:val="00E91006"/>
    <w:rsid w:val="00EA13C1"/>
    <w:rsid w:val="00EA2C40"/>
    <w:rsid w:val="00EA3152"/>
    <w:rsid w:val="00EB423B"/>
    <w:rsid w:val="00EC1B20"/>
    <w:rsid w:val="00F32DA7"/>
    <w:rsid w:val="00F373A8"/>
    <w:rsid w:val="00F42AB8"/>
    <w:rsid w:val="00F521CD"/>
    <w:rsid w:val="00F83543"/>
    <w:rsid w:val="00F8466E"/>
    <w:rsid w:val="00FC450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A0B"/>
    <w:rPr>
      <w:sz w:val="24"/>
    </w:rPr>
  </w:style>
  <w:style w:type="paragraph" w:styleId="Nadpis1">
    <w:name w:val="heading 1"/>
    <w:basedOn w:val="Normln"/>
    <w:next w:val="Normln"/>
    <w:qFormat/>
    <w:rsid w:val="00BC3A0B"/>
    <w:pPr>
      <w:keepNext/>
      <w:ind w:left="-360" w:firstLine="1800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BC3A0B"/>
    <w:pPr>
      <w:keepNext/>
      <w:ind w:left="-360" w:hanging="180"/>
      <w:outlineLvl w:val="1"/>
    </w:pPr>
    <w:rPr>
      <w:rFonts w:ascii="Arial" w:hAnsi="Arial" w:cs="Arial"/>
      <w:b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C3A0B"/>
    <w:pPr>
      <w:pageBreakBefore/>
      <w:jc w:val="center"/>
    </w:pPr>
    <w:rPr>
      <w:rFonts w:ascii="Arial" w:hAnsi="Arial" w:cs="Arial"/>
      <w:b/>
      <w:i/>
      <w:szCs w:val="24"/>
    </w:rPr>
  </w:style>
  <w:style w:type="paragraph" w:styleId="Zkladntextodsazen">
    <w:name w:val="Body Text Indent"/>
    <w:basedOn w:val="Normln"/>
    <w:rsid w:val="00BC3A0B"/>
    <w:pPr>
      <w:ind w:left="-360" w:firstLine="1620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BC3A0B"/>
    <w:pPr>
      <w:ind w:firstLine="1260"/>
    </w:pPr>
    <w:rPr>
      <w:rFonts w:ascii="Arial" w:hAnsi="Arial" w:cs="Arial"/>
      <w:sz w:val="22"/>
    </w:rPr>
  </w:style>
  <w:style w:type="character" w:styleId="Hypertextovodkaz">
    <w:name w:val="Hyperlink"/>
    <w:uiPriority w:val="99"/>
    <w:rsid w:val="00EB423B"/>
    <w:rPr>
      <w:color w:val="0000FF"/>
      <w:u w:val="single"/>
    </w:rPr>
  </w:style>
  <w:style w:type="paragraph" w:styleId="Textbubliny">
    <w:name w:val="Balloon Text"/>
    <w:basedOn w:val="Normln"/>
    <w:semiHidden/>
    <w:rsid w:val="00030E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7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2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AB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A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A0B"/>
    <w:rPr>
      <w:sz w:val="24"/>
    </w:rPr>
  </w:style>
  <w:style w:type="paragraph" w:styleId="Nadpis1">
    <w:name w:val="heading 1"/>
    <w:basedOn w:val="Normln"/>
    <w:next w:val="Normln"/>
    <w:qFormat/>
    <w:rsid w:val="00BC3A0B"/>
    <w:pPr>
      <w:keepNext/>
      <w:ind w:left="-360" w:firstLine="1800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BC3A0B"/>
    <w:pPr>
      <w:keepNext/>
      <w:ind w:left="-360" w:hanging="180"/>
      <w:outlineLvl w:val="1"/>
    </w:pPr>
    <w:rPr>
      <w:rFonts w:ascii="Arial" w:hAnsi="Arial" w:cs="Arial"/>
      <w:b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C3A0B"/>
    <w:pPr>
      <w:pageBreakBefore/>
      <w:jc w:val="center"/>
    </w:pPr>
    <w:rPr>
      <w:rFonts w:ascii="Arial" w:hAnsi="Arial" w:cs="Arial"/>
      <w:b/>
      <w:i/>
      <w:szCs w:val="24"/>
    </w:rPr>
  </w:style>
  <w:style w:type="paragraph" w:styleId="Zkladntextodsazen">
    <w:name w:val="Body Text Indent"/>
    <w:basedOn w:val="Normln"/>
    <w:rsid w:val="00BC3A0B"/>
    <w:pPr>
      <w:ind w:left="-360" w:firstLine="1620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BC3A0B"/>
    <w:pPr>
      <w:ind w:firstLine="1260"/>
    </w:pPr>
    <w:rPr>
      <w:rFonts w:ascii="Arial" w:hAnsi="Arial" w:cs="Arial"/>
      <w:sz w:val="22"/>
    </w:rPr>
  </w:style>
  <w:style w:type="character" w:styleId="Hypertextovodkaz">
    <w:name w:val="Hyperlink"/>
    <w:uiPriority w:val="99"/>
    <w:rsid w:val="00EB423B"/>
    <w:rPr>
      <w:color w:val="0000FF"/>
      <w:u w:val="single"/>
    </w:rPr>
  </w:style>
  <w:style w:type="paragraph" w:styleId="Textbubliny">
    <w:name w:val="Balloon Text"/>
    <w:basedOn w:val="Normln"/>
    <w:semiHidden/>
    <w:rsid w:val="00030E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7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42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2AB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2A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01%20ostatn&#237;%20dokumenty\&#353;ablony\HLAV_CS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161A-7021-41D1-8FA1-EF883DCC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HLAV_CSK</Template>
  <TotalTime>0</TotalTime>
  <Pages>3</Pages>
  <Words>1041</Words>
  <Characters>6478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 d v o k á t n í         k a n c e l á ř</vt:lpstr>
    </vt:vector>
  </TitlesOfParts>
  <Company>ČLS JEP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v o k á t n í         k a n c e l á ř</dc:title>
  <dc:creator>Jiří Slavík;Jitka Povolná</dc:creator>
  <cp:lastModifiedBy>Jaroslava Veselá</cp:lastModifiedBy>
  <cp:revision>2</cp:revision>
  <cp:lastPrinted>2004-11-24T23:59:00Z</cp:lastPrinted>
  <dcterms:created xsi:type="dcterms:W3CDTF">2019-12-03T07:33:00Z</dcterms:created>
  <dcterms:modified xsi:type="dcterms:W3CDTF">2019-12-03T07:33:00Z</dcterms:modified>
</cp:coreProperties>
</file>